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0"/>
      </w:pPr>
      <w:r>
        <w:rPr>
          <w:rFonts w:ascii="Calibri" w:cs="Calibri" w:eastAsia="Calibri" w:hAnsi="Calibri"/>
          <w:b/>
          <w:bCs/>
          <w:color w:val="1F3864"/>
          <w:sz w:val="48"/>
          <w:szCs w:val="48"/>
        </w:rPr>
        <w:t xml:space="preserve">GALLANT</w:t>
      </w:r>
      <w:r>
        <w:rPr>
          <w:rFonts w:ascii="Calibri" w:cs="Calibri" w:eastAsia="Calibri" w:hAnsi="Calibri"/>
          <w:color w:val="1F3864"/>
          <w:sz w:val="32"/>
          <w:szCs w:val="32"/>
        </w:rPr>
        <w:t xml:space="preserve">  PROJECT SOLUTIONS LLC</w:t>
      </w:r>
    </w:p>
    <w:p>
      <w:pPr>
        <w:pBdr>
          <w:bottom w:val="single" w:color="C9A227" w:sz="16" w:space="6"/>
        </w:pBdr>
        <w:spacing w:after="320" w:before="0"/>
      </w:pPr>
      <w:r>
        <w:rPr>
          <w:rFonts w:ascii="Calibri" w:cs="Calibri" w:eastAsia="Calibri" w:hAnsi="Calibri"/>
          <w:color w:val="475569"/>
          <w:sz w:val="16"/>
          <w:szCs w:val="16"/>
        </w:rPr>
        <w:t xml:space="preserve">Service-Disabled Veteran-Owned Small Business (SDVOSB)   ·   Veteran-Owned Small Business (VOSB)   ·   SBA Registered</w:t>
      </w:r>
    </w:p>
    <w:p>
      <w:pPr>
        <w:spacing w:after="60" w:before="200"/>
      </w:pPr>
      <w:r>
        <w:rPr>
          <w:rFonts w:ascii="Calibri" w:cs="Calibri" w:eastAsia="Calibri" w:hAnsi="Calibri"/>
          <w:b/>
          <w:bCs/>
          <w:color w:val="C9A227"/>
          <w:sz w:val="24"/>
          <w:szCs w:val="24"/>
        </w:rPr>
        <w:t xml:space="preserve">SAMPLE</w:t>
      </w:r>
    </w:p>
    <w:p>
      <w:pPr>
        <w:spacing w:after="60" w:before="0"/>
      </w:pPr>
      <w:r>
        <w:rPr>
          <w:rFonts w:ascii="Calibri" w:cs="Calibri" w:eastAsia="Calibri" w:hAnsi="Calibri"/>
          <w:b/>
          <w:bCs/>
          <w:color w:val="1F3864"/>
          <w:sz w:val="36"/>
          <w:szCs w:val="36"/>
        </w:rPr>
        <w:t xml:space="preserve">Requirements Intelligence Report™</w:t>
      </w:r>
    </w:p>
    <w:p>
      <w:pPr>
        <w:spacing w:after="320" w:before="0"/>
      </w:pPr>
      <w:r>
        <w:rPr>
          <w:rFonts w:ascii="Calibri" w:cs="Calibri" w:eastAsia="Calibri" w:hAnsi="Calibri"/>
          <w:i/>
          <w:iCs/>
          <w:color w:val="475569"/>
          <w:sz w:val="22"/>
          <w:szCs w:val="22"/>
        </w:rPr>
        <w:t xml:space="preserve">BASELINE RUN  ·  PROJECT INITIATION</w:t>
      </w:r>
    </w:p>
    <w:p>
      <w:pPr>
        <w:spacing w:after="140" w:before="0"/>
        <w:jc w:val="both"/>
      </w:pPr>
      <w:r>
        <w:rPr>
          <w:rFonts w:ascii="Calibri" w:cs="Calibri" w:eastAsia="Calibri" w:hAnsi="Calibri"/>
          <w:b/>
          <w:bCs/>
          <w:color w:val="1F3864"/>
          <w:sz w:val="22"/>
          <w:szCs w:val="22"/>
        </w:rPr>
        <w:t xml:space="preserve">This is a sample Requirements Intelligence Report™ produced by Gallant Project Solutions LLC for demonstration purposes. </w:t>
      </w:r>
      <w:r>
        <w:rPr>
          <w:rFonts w:ascii="Calibri" w:cs="Calibri" w:eastAsia="Calibri" w:hAnsi="Calibri"/>
          <w:sz w:val="22"/>
          <w:szCs w:val="22"/>
        </w:rPr>
        <w:t xml:space="preserve">The project — Heritage Health Campus / Northstar Ambulatory Care Clinic — is illustrative. The methodology, structure, register integrity, and analytical voice on every page that follows are exactly what Gallant produces on live client engagements.</w:t>
      </w:r>
    </w:p>
    <w:p>
      <w:pPr>
        <w:spacing w:after="240" w:before="0"/>
        <w:jc w:val="both"/>
      </w:pPr>
      <w:r>
        <w:rPr>
          <w:rFonts w:ascii="Calibri" w:cs="Calibri" w:eastAsia="Calibri" w:hAnsi="Calibri"/>
          <w:sz w:val="22"/>
          <w:szCs w:val="22"/>
        </w:rPr>
        <w:t xml:space="preserve">Project name, organizations, and individuals have been replaced with generic references (Owner's PM, Architect of Record, CMAR, etc.) to protect the actual engagement. All other details — requirement counts, conflict counts, dollar figures, deadlines, regulatory citations, and the analytical structure of the report — is preserved exactly as Gallant produces it in live work.</w:t>
      </w:r>
    </w:p>
    <w:p>
      <w:pPr>
        <w:spacing w:after="100" w:before="200"/>
      </w:pPr>
      <w:r>
        <w:rPr>
          <w:rFonts w:ascii="Calibri" w:cs="Calibri" w:eastAsia="Calibri" w:hAnsi="Calibri"/>
          <w:b/>
          <w:bCs/>
          <w:color w:val="1F3864"/>
          <w:sz w:val="22"/>
          <w:szCs w:val="22"/>
        </w:rPr>
        <w:t xml:space="preserve">Read this sample for:</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What Gallant delivers at the start of a project, before design begins.</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How 70 requirements pulled from five founding documents — program criteria, lease, schedule, equipment list, regulatory summary — get organized into a single source of truth that owner, designer, contractor, and auditor can all read from.</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How conflicts and missing decisions get surfaced before they turn into design rework, with each one routed to a specific person and a specific deadline.</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How Gallant catches its own workbook and methodology issues with the same rigor applied to the project record. Clients should expect this kind of transparency in the reports they receive.</w:t>
      </w:r>
    </w:p>
    <w:p>
      <w:pPr>
        <w:spacing w:after="0" w:before="24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60"/>
              <w:left w:type="dxa" w:w="240"/>
              <w:bottom w:type="dxa" w:w="160"/>
              <w:right w:type="dxa" w:w="240"/>
            </w:tcMar>
          </w:tcPr>
          <w:p>
            <w:pPr>
              <w:spacing w:after="60" w:before="0"/>
            </w:pPr>
            <w:r>
              <w:rPr>
                <w:rFonts w:ascii="Calibri" w:cs="Calibri" w:eastAsia="Calibri" w:hAnsi="Calibri"/>
                <w:b/>
                <w:bCs/>
                <w:color w:val="1F3864"/>
                <w:sz w:val="22"/>
                <w:szCs w:val="22"/>
              </w:rPr>
              <w:t xml:space="preserve">Companion sample available. </w:t>
            </w:r>
            <w:r>
              <w:rPr>
                <w:rFonts w:ascii="Calibri" w:cs="Calibri" w:eastAsia="Calibri" w:hAnsi="Calibri"/>
                <w:sz w:val="20"/>
                <w:szCs w:val="20"/>
              </w:rPr>
              <w:t xml:space="preserve">This sample shows what Gallant delivers at project initiation. The companion Cycle 1 sample shows what six months of monthly engagement clears. Reading both gives you the full picture: the founding work, then what the project looks like six months later. Most prospects find Cycle 1 more useful for understanding the value of a recurring engagement; this Baseline sample shows what's in the foundation.</w:t>
            </w:r>
          </w:p>
          <w:p>
            <w:pPr>
              <w:spacing w:after="0" w:before="0"/>
            </w:pPr>
            <w:r>
              <w:rPr>
                <w:rFonts w:ascii="Calibri" w:cs="Calibri" w:eastAsia="Calibri" w:hAnsi="Calibri"/>
                <w:i/>
                <w:iCs/>
                <w:color w:val="475569"/>
                <w:sz w:val="18"/>
                <w:szCs w:val="18"/>
              </w:rPr>
              <w:t xml:space="preserve">— Greg Tuite, PE PMP   ·   Gallant Project Solutions LLC   ·   May 2026</w:t>
            </w:r>
          </w:p>
        </w:tc>
      </w:tr>
    </w:tbl>
    <w:p>
      <w:r>
        <w:br w:type="page"/>
      </w:r>
    </w:p>
    <w:p>
      <w:pPr>
        <w:spacing w:after="60" w:before="200"/>
      </w:pPr>
      <w:r>
        <w:rPr>
          <w:rFonts w:ascii="Calibri" w:cs="Calibri" w:eastAsia="Calibri" w:hAnsi="Calibri"/>
          <w:b/>
          <w:bCs/>
          <w:color w:val="C9A227"/>
          <w:sz w:val="24"/>
          <w:szCs w:val="24"/>
        </w:rPr>
        <w:t xml:space="preserve">QUICK START GUIDE</w:t>
      </w:r>
    </w:p>
    <w:p>
      <w:pPr>
        <w:pBdr>
          <w:bottom w:val="single" w:color="C9A227" w:sz="12" w:space="4"/>
        </w:pBdr>
        <w:spacing w:after="240" w:before="0"/>
      </w:pPr>
      <w:r>
        <w:rPr>
          <w:rFonts w:ascii="Calibri" w:cs="Calibri" w:eastAsia="Calibri" w:hAnsi="Calibri"/>
          <w:b/>
          <w:bCs/>
          <w:color w:val="1F3864"/>
          <w:sz w:val="32"/>
          <w:szCs w:val="32"/>
        </w:rPr>
        <w:t xml:space="preserve">How to read this report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What is this report?</w:t>
            </w:r>
          </w:p>
          <w:p>
            <w:pPr>
              <w:spacing w:after="0" w:before="0"/>
              <w:jc w:val="both"/>
            </w:pPr>
            <w:r>
              <w:rPr>
                <w:rFonts w:ascii="Calibri" w:cs="Calibri" w:eastAsia="Calibri" w:hAnsi="Calibri"/>
                <w:sz w:val="18"/>
                <w:szCs w:val="18"/>
              </w:rPr>
              <w:t xml:space="preserve">This is a Requirements Intelligence Report™ — Gallant's structured account of every binding requirement on the project, the conflicts and open decisions surfaced from those requirements, and the actions the owner needs to take before the next design gate. It is produced by reading every project document into a single registered list, then analyzing the list. The report is the same regardless of who reads it; the sections are organized so different readers can find what matters to them quickly.</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Who reads what</w:t>
            </w:r>
          </w:p>
          <w:p>
            <w:pPr>
              <w:spacing w:after="30" w:before="30"/>
              <w:jc w:val="both"/>
            </w:pPr>
            <w:r>
              <w:rPr>
                <w:rFonts w:ascii="Calibri" w:cs="Calibri" w:eastAsia="Calibri" w:hAnsi="Calibri"/>
                <w:b/>
                <w:bCs/>
                <w:color w:val="1F3864"/>
                <w:sz w:val="18"/>
                <w:szCs w:val="18"/>
              </w:rPr>
              <w:t xml:space="preserve">Executive (15 minutes).  </w:t>
            </w:r>
            <w:r>
              <w:rPr>
                <w:rFonts w:ascii="Calibri" w:cs="Calibri" w:eastAsia="Calibri" w:hAnsi="Calibri"/>
                <w:sz w:val="18"/>
                <w:szCs w:val="18"/>
              </w:rPr>
              <w:t xml:space="preserve">Read the front wrapper, the cover, and Section 2 (Executive Summary). That is the full picture at the level a sponsor or capital partner needs.</w:t>
            </w:r>
          </w:p>
          <w:p>
            <w:pPr>
              <w:spacing w:after="30" w:before="30"/>
              <w:jc w:val="both"/>
            </w:pPr>
            <w:r>
              <w:rPr>
                <w:rFonts w:ascii="Calibri" w:cs="Calibri" w:eastAsia="Calibri" w:hAnsi="Calibri"/>
                <w:b/>
                <w:bCs/>
                <w:color w:val="1F3864"/>
                <w:sz w:val="18"/>
                <w:szCs w:val="18"/>
              </w:rPr>
              <w:t xml:space="preserve">Project Manager (45 minutes).  </w:t>
            </w:r>
            <w:r>
              <w:rPr>
                <w:rFonts w:ascii="Calibri" w:cs="Calibri" w:eastAsia="Calibri" w:hAnsi="Calibri"/>
                <w:sz w:val="18"/>
                <w:szCs w:val="18"/>
              </w:rPr>
              <w:t xml:space="preserve">Read Section 2, then Section 4.A (Owner Decision Register) for the actionable item list, then Section 5 for cost and schedule exposure. Section 9 (Cycle Comparison) shows what changed since the last report.</w:t>
            </w:r>
          </w:p>
          <w:p>
            <w:pPr>
              <w:spacing w:after="30" w:before="30"/>
              <w:jc w:val="both"/>
            </w:pPr>
            <w:r>
              <w:rPr>
                <w:rFonts w:ascii="Calibri" w:cs="Calibri" w:eastAsia="Calibri" w:hAnsi="Calibri"/>
                <w:b/>
                <w:bCs/>
                <w:color w:val="1F3864"/>
                <w:sz w:val="18"/>
                <w:szCs w:val="18"/>
              </w:rPr>
              <w:t xml:space="preserve">Project Team (full read).  </w:t>
            </w:r>
            <w:r>
              <w:rPr>
                <w:rFonts w:ascii="Calibri" w:cs="Calibri" w:eastAsia="Calibri" w:hAnsi="Calibri"/>
                <w:sz w:val="18"/>
                <w:szCs w:val="18"/>
              </w:rPr>
              <w:t xml:space="preserve">All sections. Section 3 dashboard views, Section 4 priority items, Section 6 conflict register, and Section 7 document lineage are the working content. Appendix A documents Gallant’s self-disclosed quality findings.</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Key terms used throughout</w:t>
            </w:r>
          </w:p>
          <w:p>
            <w:pPr>
              <w:spacing w:after="30" w:before="30"/>
              <w:jc w:val="both"/>
            </w:pPr>
            <w:r>
              <w:rPr>
                <w:rFonts w:ascii="Calibri" w:cs="Calibri" w:eastAsia="Calibri" w:hAnsi="Calibri"/>
                <w:b/>
                <w:bCs/>
                <w:color w:val="1F3864"/>
                <w:sz w:val="18"/>
                <w:szCs w:val="18"/>
              </w:rPr>
              <w:t xml:space="preserve">GOVERNING.  </w:t>
            </w:r>
            <w:r>
              <w:rPr>
                <w:rFonts w:ascii="Calibri" w:cs="Calibri" w:eastAsia="Calibri" w:hAnsi="Calibri"/>
                <w:sz w:val="18"/>
                <w:szCs w:val="18"/>
              </w:rPr>
              <w:t xml:space="preserve">A requirement that is locked into the design basis. The design team is building to it.</w:t>
            </w:r>
          </w:p>
          <w:p>
            <w:pPr>
              <w:spacing w:after="30" w:before="30"/>
              <w:jc w:val="both"/>
            </w:pPr>
            <w:r>
              <w:rPr>
                <w:rFonts w:ascii="Calibri" w:cs="Calibri" w:eastAsia="Calibri" w:hAnsi="Calibri"/>
                <w:b/>
                <w:bCs/>
                <w:color w:val="1F3864"/>
                <w:sz w:val="18"/>
                <w:szCs w:val="18"/>
              </w:rPr>
              <w:t xml:space="preserve">DECISION-PENDING.  </w:t>
            </w:r>
            <w:r>
              <w:rPr>
                <w:rFonts w:ascii="Calibri" w:cs="Calibri" w:eastAsia="Calibri" w:hAnsi="Calibri"/>
                <w:sz w:val="18"/>
                <w:szCs w:val="18"/>
              </w:rPr>
              <w:t xml:space="preserve">A requirement that is waiting on an owner action to lock. Until it closes, the design team cannot finalize that piece of the design.</w:t>
            </w:r>
          </w:p>
          <w:p>
            <w:pPr>
              <w:spacing w:after="30" w:before="30"/>
              <w:jc w:val="both"/>
            </w:pPr>
            <w:r>
              <w:rPr>
                <w:rFonts w:ascii="Calibri" w:cs="Calibri" w:eastAsia="Calibri" w:hAnsi="Calibri"/>
                <w:b/>
                <w:bCs/>
                <w:color w:val="1F3864"/>
                <w:sz w:val="18"/>
                <w:szCs w:val="18"/>
              </w:rPr>
              <w:t xml:space="preserve">CONFLICT-PENDING.  </w:t>
            </w:r>
            <w:r>
              <w:rPr>
                <w:rFonts w:ascii="Calibri" w:cs="Calibri" w:eastAsia="Calibri" w:hAnsi="Calibri"/>
                <w:sz w:val="18"/>
                <w:szCs w:val="18"/>
              </w:rPr>
              <w:t xml:space="preserve">A requirement that is in conflict with another requirement. Both sides are documented; the conflict needs an owner-routed decision to resolve.</w:t>
            </w:r>
          </w:p>
          <w:p>
            <w:pPr>
              <w:spacing w:after="30" w:before="30"/>
              <w:jc w:val="both"/>
            </w:pPr>
            <w:r>
              <w:rPr>
                <w:rFonts w:ascii="Calibri" w:cs="Calibri" w:eastAsia="Calibri" w:hAnsi="Calibri"/>
                <w:b/>
                <w:bCs/>
                <w:color w:val="1F3864"/>
                <w:sz w:val="18"/>
                <w:szCs w:val="18"/>
              </w:rPr>
              <w:t xml:space="preserve">Critical Impact.  </w:t>
            </w:r>
            <w:r>
              <w:rPr>
                <w:rFonts w:ascii="Calibri" w:cs="Calibri" w:eastAsia="Calibri" w:hAnsi="Calibri"/>
                <w:sz w:val="18"/>
                <w:szCs w:val="18"/>
              </w:rPr>
              <w:t xml:space="preserve">Gallant’s rating for any requirement where a change after design proceeds would force significant rework, schedule slip, or cost growth. Gallant considers a register healthy if no more than 30 percent of records carry this rating.</w:t>
            </w:r>
          </w:p>
          <w:p>
            <w:pPr>
              <w:spacing w:after="30" w:before="30"/>
              <w:jc w:val="both"/>
            </w:pPr>
            <w:r>
              <w:rPr>
                <w:rFonts w:ascii="Calibri" w:cs="Calibri" w:eastAsia="Calibri" w:hAnsi="Calibri"/>
                <w:b/>
                <w:bCs/>
                <w:color w:val="1F3864"/>
                <w:sz w:val="18"/>
                <w:szCs w:val="18"/>
              </w:rPr>
              <w:t xml:space="preserve">Tier 1 / Tier 2 / Tier 3.  </w:t>
            </w:r>
            <w:r>
              <w:rPr>
                <w:rFonts w:ascii="Calibri" w:cs="Calibri" w:eastAsia="Calibri" w:hAnsi="Calibri"/>
                <w:sz w:val="18"/>
                <w:szCs w:val="18"/>
              </w:rPr>
              <w:t xml:space="preserve">How priority items are organized in Section 4. Tier 1 items must close before the next design gate. Tier 2 items need active management to prevent escalation. Tier 3 items are tracked but do not require executive attention this cycle.</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Identifiers you will see throughout</w:t>
            </w:r>
          </w:p>
          <w:p>
            <w:pPr>
              <w:spacing w:after="30" w:before="30"/>
              <w:jc w:val="both"/>
            </w:pPr>
            <w:r>
              <w:rPr>
                <w:rFonts w:ascii="Calibri" w:cs="Calibri" w:eastAsia="Calibri" w:hAnsi="Calibri"/>
                <w:b/>
                <w:bCs/>
                <w:color w:val="1F3864"/>
                <w:sz w:val="18"/>
                <w:szCs w:val="18"/>
              </w:rPr>
              <w:t xml:space="preserve">GR-XXXX.  </w:t>
            </w:r>
            <w:r>
              <w:rPr>
                <w:rFonts w:ascii="Calibri" w:cs="Calibri" w:eastAsia="Calibri" w:hAnsi="Calibri"/>
                <w:sz w:val="18"/>
                <w:szCs w:val="18"/>
              </w:rPr>
              <w:t xml:space="preserve">A requirement record. Every binding requirement on the project carries one of these. The number is sequential in the order requirements were added to the register.</w:t>
            </w:r>
          </w:p>
          <w:p>
            <w:pPr>
              <w:spacing w:after="30" w:before="30"/>
              <w:jc w:val="both"/>
            </w:pPr>
            <w:r>
              <w:rPr>
                <w:rFonts w:ascii="Calibri" w:cs="Calibri" w:eastAsia="Calibri" w:hAnsi="Calibri"/>
                <w:b/>
                <w:bCs/>
                <w:color w:val="1F3864"/>
                <w:sz w:val="18"/>
                <w:szCs w:val="18"/>
              </w:rPr>
              <w:t xml:space="preserve">CF-XXX.  </w:t>
            </w:r>
            <w:r>
              <w:rPr>
                <w:rFonts w:ascii="Calibri" w:cs="Calibri" w:eastAsia="Calibri" w:hAnsi="Calibri"/>
                <w:sz w:val="18"/>
                <w:szCs w:val="18"/>
              </w:rPr>
              <w:t xml:space="preserve">A conflict record. Every conflict between two requirements carries one of these.</w:t>
            </w:r>
          </w:p>
          <w:p>
            <w:pPr>
              <w:spacing w:after="30" w:before="30"/>
              <w:jc w:val="both"/>
            </w:pPr>
            <w:r>
              <w:rPr>
                <w:rFonts w:ascii="Calibri" w:cs="Calibri" w:eastAsia="Calibri" w:hAnsi="Calibri"/>
                <w:b/>
                <w:bCs/>
                <w:color w:val="1F3864"/>
                <w:sz w:val="18"/>
                <w:szCs w:val="18"/>
              </w:rPr>
              <w:t xml:space="preserve">D1, D2, ... D15.  </w:t>
            </w:r>
            <w:r>
              <w:rPr>
                <w:rFonts w:ascii="Calibri" w:cs="Calibri" w:eastAsia="Calibri" w:hAnsi="Calibri"/>
                <w:sz w:val="18"/>
                <w:szCs w:val="18"/>
              </w:rPr>
              <w:t xml:space="preserve">A source document. The number is sequential in the order Gallant processed the document into the register. Section 7 lists every document.</w:t>
            </w:r>
          </w:p>
          <w:p>
            <w:pPr>
              <w:spacing w:after="30" w:before="30"/>
              <w:jc w:val="both"/>
            </w:pPr>
            <w:r>
              <w:rPr>
                <w:rFonts w:ascii="Calibri" w:cs="Calibri" w:eastAsia="Calibri" w:hAnsi="Calibri"/>
                <w:b/>
                <w:bCs/>
                <w:color w:val="1F3864"/>
                <w:sz w:val="18"/>
                <w:szCs w:val="18"/>
              </w:rPr>
              <w:t xml:space="preserve">DCM-HHC-NNN.  </w:t>
            </w:r>
            <w:r>
              <w:rPr>
                <w:rFonts w:ascii="Calibri" w:cs="Calibri" w:eastAsia="Calibri" w:hAnsi="Calibri"/>
                <w:sz w:val="18"/>
                <w:szCs w:val="18"/>
              </w:rPr>
              <w:t xml:space="preserve">A Decision Closure Memo. Every time an owner decision closes, Gallant issues one of these to document the decision and the audit trail back to the source.</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Roles you will see throughout</w:t>
            </w:r>
          </w:p>
          <w:p>
            <w:pPr>
              <w:spacing w:after="30" w:before="30"/>
              <w:jc w:val="both"/>
            </w:pPr>
            <w:r>
              <w:rPr>
                <w:rFonts w:ascii="Calibri" w:cs="Calibri" w:eastAsia="Calibri" w:hAnsi="Calibri"/>
                <w:b/>
                <w:bCs/>
                <w:color w:val="1F3864"/>
                <w:sz w:val="18"/>
                <w:szCs w:val="18"/>
              </w:rPr>
              <w:t xml:space="preserve">Owner's PM.  </w:t>
            </w:r>
            <w:r>
              <w:rPr>
                <w:rFonts w:ascii="Calibri" w:cs="Calibri" w:eastAsia="Calibri" w:hAnsi="Calibri"/>
                <w:sz w:val="18"/>
                <w:szCs w:val="18"/>
              </w:rPr>
              <w:t xml:space="preserve">The owner-side project manager. The decision owner on most items in the Owner Decision Register.</w:t>
            </w:r>
          </w:p>
          <w:p>
            <w:pPr>
              <w:spacing w:after="30" w:before="30"/>
              <w:jc w:val="both"/>
            </w:pPr>
            <w:r>
              <w:rPr>
                <w:rFonts w:ascii="Calibri" w:cs="Calibri" w:eastAsia="Calibri" w:hAnsi="Calibri"/>
                <w:b/>
                <w:bCs/>
                <w:color w:val="1F3864"/>
                <w:sz w:val="18"/>
                <w:szCs w:val="18"/>
              </w:rPr>
              <w:t xml:space="preserve">AOR  (Architect of Record).  </w:t>
            </w:r>
            <w:r>
              <w:rPr>
                <w:rFonts w:ascii="Calibri" w:cs="Calibri" w:eastAsia="Calibri" w:hAnsi="Calibri"/>
                <w:sz w:val="18"/>
                <w:szCs w:val="18"/>
              </w:rPr>
              <w:t xml:space="preserve">The lead architectural firm. Responsible for the overall design and for coordinating the design disciplines.</w:t>
            </w:r>
          </w:p>
          <w:p>
            <w:pPr>
              <w:spacing w:after="30" w:before="30"/>
              <w:jc w:val="both"/>
            </w:pPr>
            <w:r>
              <w:rPr>
                <w:rFonts w:ascii="Calibri" w:cs="Calibri" w:eastAsia="Calibri" w:hAnsi="Calibri"/>
                <w:b/>
                <w:bCs/>
                <w:color w:val="1F3864"/>
                <w:sz w:val="18"/>
                <w:szCs w:val="18"/>
              </w:rPr>
              <w:t xml:space="preserve">SER  (Structural Engineer of Record).  </w:t>
            </w:r>
            <w:r>
              <w:rPr>
                <w:rFonts w:ascii="Calibri" w:cs="Calibri" w:eastAsia="Calibri" w:hAnsi="Calibri"/>
                <w:sz w:val="18"/>
                <w:szCs w:val="18"/>
              </w:rPr>
              <w:t xml:space="preserve">The lead structural engineering firm.</w:t>
            </w:r>
          </w:p>
          <w:p>
            <w:pPr>
              <w:spacing w:after="30" w:before="30"/>
              <w:jc w:val="both"/>
            </w:pPr>
            <w:r>
              <w:rPr>
                <w:rFonts w:ascii="Calibri" w:cs="Calibri" w:eastAsia="Calibri" w:hAnsi="Calibri"/>
                <w:b/>
                <w:bCs/>
                <w:color w:val="1F3864"/>
                <w:sz w:val="18"/>
                <w:szCs w:val="18"/>
              </w:rPr>
              <w:t xml:space="preserve">MEP-EOR  (Mechanical, Electrical, Plumbing Engineer of Record).  </w:t>
            </w:r>
            <w:r>
              <w:rPr>
                <w:rFonts w:ascii="Calibri" w:cs="Calibri" w:eastAsia="Calibri" w:hAnsi="Calibri"/>
                <w:sz w:val="18"/>
                <w:szCs w:val="18"/>
              </w:rPr>
              <w:t xml:space="preserve">The lead MEP engineering firm. Some projects split this role across two or three firms.</w:t>
            </w:r>
          </w:p>
          <w:p>
            <w:pPr>
              <w:spacing w:after="30" w:before="30"/>
              <w:jc w:val="both"/>
            </w:pPr>
            <w:r>
              <w:rPr>
                <w:rFonts w:ascii="Calibri" w:cs="Calibri" w:eastAsia="Calibri" w:hAnsi="Calibri"/>
                <w:b/>
                <w:bCs/>
                <w:color w:val="1F3864"/>
                <w:sz w:val="18"/>
                <w:szCs w:val="18"/>
              </w:rPr>
              <w:t xml:space="preserve">CMAR  (Construction Manager At Risk).  </w:t>
            </w:r>
            <w:r>
              <w:rPr>
                <w:rFonts w:ascii="Calibri" w:cs="Calibri" w:eastAsia="Calibri" w:hAnsi="Calibri"/>
                <w:sz w:val="18"/>
                <w:szCs w:val="18"/>
              </w:rPr>
              <w:t xml:space="preserve">The general contractor under a CMAR delivery method, engaged during design to provide constructability input and pricing.</w:t>
            </w:r>
          </w:p>
        </w:tc>
      </w:tr>
    </w:tbl>
    <w:p>
      <w:r>
        <w:br w:type="page"/>
      </w:r>
    </w:p>
    <w:p>
      <w:pPr>
        <w:spacing w:before="600"/>
      </w:pPr>
      <w:r>
        <w:rPr>
          <w:rFonts w:ascii="Calibri" w:cs="Calibri" w:eastAsia="Calibri" w:hAnsi="Calibri"/>
          <w:sz w:val="20"/>
          <w:szCs w:val="20"/>
        </w:rPr>
        <w:t xml:space="preserve"/>
      </w:r>
    </w:p>
    <w:p>
      <w:pPr>
        <w:spacing w:after="80" w:before="0"/>
        <w:jc w:val="left"/>
      </w:pPr>
      <w:r>
        <w:rPr>
          <w:rFonts w:ascii="Calibri" w:cs="Calibri" w:eastAsia="Calibri" w:hAnsi="Calibri"/>
          <w:b/>
          <w:bCs/>
          <w:color w:val="1F3864"/>
          <w:sz w:val="60"/>
          <w:szCs w:val="60"/>
        </w:rPr>
        <w:t xml:space="preserve">GALLANT</w:t>
      </w:r>
      <w:r>
        <w:rPr>
          <w:rFonts w:ascii="Calibri" w:cs="Calibri" w:eastAsia="Calibri" w:hAnsi="Calibri"/>
          <w:color w:val="1F3864"/>
          <w:sz w:val="40"/>
          <w:szCs w:val="40"/>
        </w:rPr>
        <w:t xml:space="preserve">  PROJECT SOLUTIONS LLC</w:t>
      </w:r>
    </w:p>
    <w:p>
      <w:pPr>
        <w:pBdr>
          <w:bottom w:val="single" w:color="C9A227" w:sz="24" w:space="6"/>
        </w:pBdr>
        <w:spacing w:after="600" w:before="0"/>
        <w:jc w:val="left"/>
      </w:pPr>
      <w:r>
        <w:rPr>
          <w:rFonts w:ascii="Calibri" w:cs="Calibri" w:eastAsia="Calibri" w:hAnsi="Calibri"/>
          <w:color w:val="475569"/>
          <w:sz w:val="18"/>
          <w:szCs w:val="18"/>
        </w:rPr>
        <w:t xml:space="preserve">Service-Disabled Veteran-Owned Small Business (SDVOSB)   ·   Veteran-Owned Small Business (VOSB)   ·   SBA Registered</w:t>
      </w:r>
    </w:p>
    <w:p>
      <w:pPr>
        <w:spacing w:after="240" w:before="0"/>
        <w:jc w:val="left"/>
      </w:pPr>
      <w:r>
        <w:rPr>
          <w:rFonts w:ascii="Calibri" w:cs="Calibri" w:eastAsia="Calibri" w:hAnsi="Calibri"/>
          <w:b/>
          <w:bCs/>
          <w:color w:val="1F3864"/>
          <w:sz w:val="52"/>
          <w:szCs w:val="52"/>
        </w:rPr>
        <w:t xml:space="preserve">REQUIREMENTS INTELLIGENCE REPORT</w:t>
      </w:r>
    </w:p>
    <w:tbl>
      <w:tblPr>
        <w:tblW w:type="dxa" w:w="3200"/>
        <w:tblBorders>
          <w:top w:val="single" w:color="auto" w:sz="4"/>
          <w:left w:val="single" w:color="auto" w:sz="4"/>
          <w:bottom w:val="single" w:color="auto" w:sz="4"/>
          <w:right w:val="single" w:color="auto" w:sz="4"/>
          <w:insideH w:val="single" w:color="auto" w:sz="4"/>
          <w:insideV w:val="single" w:color="auto" w:sz="4"/>
        </w:tblBorders>
      </w:tblPr>
      <w:tblGrid>
        <w:gridCol w:w="3200"/>
      </w:tblGrid>
      <w:tr>
        <w:tc>
          <w:tcPr>
            <w:tcW w:type="dxa" w:w="3200"/>
            <w:tcBorders>
              <w:top w:val="single" w:color="C9A227" w:sz="12"/>
              <w:left w:val="single" w:color="C9A227" w:sz="12"/>
              <w:bottom w:val="single" w:color="C9A227" w:sz="12"/>
              <w:right w:val="single" w:color="C9A227" w:sz="12"/>
            </w:tcBorders>
            <w:shd w:fill="1F3864" w:val="clear"/>
            <w:tcMar>
              <w:top w:type="dxa" w:w="100"/>
              <w:left w:type="dxa" w:w="200"/>
              <w:bottom w:type="dxa" w:w="100"/>
              <w:right w:type="dxa" w:w="200"/>
            </w:tcMar>
          </w:tcPr>
          <w:p>
            <w:pPr>
              <w:spacing w:after="0" w:before="0"/>
              <w:jc w:val="center"/>
            </w:pPr>
            <w:r>
              <w:rPr>
                <w:rFonts w:ascii="Calibri" w:cs="Calibri" w:eastAsia="Calibri" w:hAnsi="Calibri"/>
                <w:b/>
                <w:bCs/>
                <w:color w:val="C9A227"/>
                <w:sz w:val="22"/>
                <w:szCs w:val="22"/>
              </w:rPr>
              <w:t xml:space="preserve">BASELINE  ·  PROJECT INITIATION</w:t>
            </w:r>
          </w:p>
        </w:tc>
      </w:tr>
    </w:tbl>
    <w:p>
      <w:pPr>
        <w:spacing w:after="0" w:before="240"/>
      </w:pPr>
      <w:r>
        <w:rPr>
          <w:rFonts w:ascii="Calibri" w:cs="Calibri" w:eastAsia="Calibri" w:hAnsi="Calibri"/>
          <w:sz w:val="12"/>
          <w:szCs w:val="12"/>
        </w:rPr>
        <w:t xml:space="preserve"/>
      </w:r>
    </w:p>
    <w:p>
      <w:pPr>
        <w:spacing w:after="60" w:before="0"/>
        <w:jc w:val="left"/>
      </w:pPr>
      <w:r>
        <w:rPr>
          <w:rFonts w:ascii="Calibri" w:cs="Calibri" w:eastAsia="Calibri" w:hAnsi="Calibri"/>
          <w:b/>
          <w:bCs/>
          <w:color w:val="1F3864"/>
          <w:sz w:val="36"/>
          <w:szCs w:val="36"/>
        </w:rPr>
        <w:t xml:space="preserve">HERITAGE HEALTH CAMPUS</w:t>
      </w:r>
    </w:p>
    <w:p>
      <w:pPr>
        <w:spacing w:after="320" w:before="0"/>
        <w:jc w:val="left"/>
      </w:pPr>
      <w:r>
        <w:rPr>
          <w:rFonts w:ascii="Calibri" w:cs="Calibri" w:eastAsia="Calibri" w:hAnsi="Calibri"/>
          <w:color w:val="475569"/>
          <w:sz w:val="28"/>
          <w:szCs w:val="28"/>
        </w:rPr>
        <w:t xml:space="preserve">Northstar Ambulatory Care Clinic — Floors 1 &amp; 2</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Report Date</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January 28, 2025</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Run ID</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HHC-REG-001</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Register Version</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v1.0 (Baseline)</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Methodology Version</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Gallant Methodology v1.3 (May 2026)</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Engagement Type</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Project Initiation — Baseline Setup</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Prepared By</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Gallant Project Solutions LLC — Greg Tuite, PE PMP</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Distribution</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Owner, Owner's Rep, A/E Lead, CMAR Preconstruction</w:t>
            </w:r>
          </w:p>
        </w:tc>
      </w:tr>
    </w:tbl>
    <w:p>
      <w:pPr>
        <w:spacing w:before="240"/>
      </w:pPr>
      <w:r>
        <w:rPr>
          <w:rFonts w:ascii="Calibri" w:cs="Calibri" w:eastAsia="Calibri" w:hAnsi="Calibri"/>
          <w:sz w:val="20"/>
          <w:szCs w:val="20"/>
        </w:rPr>
        <w:t xml:space="preserve"/>
      </w:r>
    </w:p>
    <w:p>
      <w:pPr>
        <w:pBdr>
          <w:top w:val="single" w:color="C9A227" w:sz="4" w:space="4"/>
        </w:pBdr>
        <w:spacing w:after="0" w:before="0"/>
        <w:jc w:val="both"/>
      </w:pPr>
      <w:r>
        <w:rPr>
          <w:rFonts w:ascii="Calibri" w:cs="Calibri" w:eastAsia="Calibri" w:hAnsi="Calibri"/>
          <w:i/>
          <w:iCs/>
          <w:color w:val="475569"/>
          <w:sz w:val="14"/>
          <w:szCs w:val="14"/>
        </w:rPr>
        <w:t xml:space="preserve">© 2026 Gallant Project Solutions LLC. Proprietary and confidential. This Requirements Intelligence Report™ and the underlying methodology used to produce it are the proprietary intellectual property of Gallant Project Solutions LLC. Permitted use: solely for the authorized engagement to which it is delivered. Reproduction, adaptation, or redistribution outside the named engagement is prohibited without prior written consent from Gallant Project Solutions LLC.</w:t>
      </w:r>
    </w:p>
    <w:p>
      <w:r>
        <w:br w:type="page"/>
      </w:r>
    </w:p>
    <w:p>
      <w:pPr>
        <w:pBdr>
          <w:bottom w:val="single" w:color="C9A227" w:sz="12" w:space="4"/>
        </w:pBdr>
        <w:spacing w:after="240" w:before="0"/>
      </w:pPr>
      <w:r>
        <w:rPr>
          <w:rFonts w:ascii="Calibri" w:cs="Calibri" w:eastAsia="Calibri" w:hAnsi="Calibri"/>
          <w:b/>
          <w:bCs/>
          <w:color w:val="1F3864"/>
          <w:sz w:val="36"/>
          <w:szCs w:val="36"/>
        </w:rPr>
        <w:t xml:space="preserve">Table of Contents</w:t>
      </w:r>
    </w:p>
    <w:p>
      <w:pPr>
        <w:spacing w:after="80" w:before="80"/>
      </w:pPr>
      <w:r>
        <w:rPr>
          <w:rFonts w:ascii="Calibri" w:cs="Calibri" w:eastAsia="Calibri" w:hAnsi="Calibri"/>
          <w:b/>
          <w:bCs/>
          <w:color w:val="1F3864"/>
          <w:sz w:val="22"/>
          <w:szCs w:val="22"/>
        </w:rPr>
        <w:t xml:space="preserve">Section 1</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Project Snapshot</w:t>
      </w:r>
    </w:p>
    <w:p>
      <w:pPr>
        <w:spacing w:after="80" w:before="80"/>
      </w:pPr>
      <w:r>
        <w:rPr>
          <w:rFonts w:ascii="Calibri" w:cs="Calibri" w:eastAsia="Calibri" w:hAnsi="Calibri"/>
          <w:b/>
          <w:bCs/>
          <w:color w:val="1F3864"/>
          <w:sz w:val="22"/>
          <w:szCs w:val="22"/>
        </w:rPr>
        <w:t xml:space="preserve">Section 2</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Executive Summary</w:t>
      </w:r>
    </w:p>
    <w:p>
      <w:pPr>
        <w:spacing w:after="80" w:before="80"/>
      </w:pPr>
      <w:r>
        <w:rPr>
          <w:rFonts w:ascii="Calibri" w:cs="Calibri" w:eastAsia="Calibri" w:hAnsi="Calibri"/>
          <w:b/>
          <w:bCs/>
          <w:color w:val="1F3864"/>
          <w:sz w:val="22"/>
          <w:szCs w:val="22"/>
        </w:rPr>
        <w:t xml:space="preserve">Section 3</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Requirements Readiness Dashboard</w:t>
      </w:r>
    </w:p>
    <w:p>
      <w:pPr>
        <w:spacing w:after="80" w:before="80"/>
      </w:pPr>
      <w:r>
        <w:rPr>
          <w:rFonts w:ascii="Calibri" w:cs="Calibri" w:eastAsia="Calibri" w:hAnsi="Calibri"/>
          <w:b/>
          <w:bCs/>
          <w:color w:val="1F3864"/>
          <w:sz w:val="22"/>
          <w:szCs w:val="22"/>
        </w:rPr>
        <w:t xml:space="preserve">Section 4</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Top Priority Items</w:t>
      </w:r>
    </w:p>
    <w:p>
      <w:pPr>
        <w:spacing w:after="80" w:before="80"/>
      </w:pPr>
      <w:r>
        <w:rPr>
          <w:rFonts w:ascii="Calibri" w:cs="Calibri" w:eastAsia="Calibri" w:hAnsi="Calibri"/>
          <w:b/>
          <w:bCs/>
          <w:color w:val="1F3864"/>
          <w:sz w:val="22"/>
          <w:szCs w:val="22"/>
        </w:rPr>
        <w:t xml:space="preserve">    4.A</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Owner Decision Register</w:t>
      </w:r>
    </w:p>
    <w:p>
      <w:pPr>
        <w:spacing w:after="80" w:before="80"/>
      </w:pPr>
      <w:r>
        <w:rPr>
          <w:rFonts w:ascii="Calibri" w:cs="Calibri" w:eastAsia="Calibri" w:hAnsi="Calibri"/>
          <w:b/>
          <w:bCs/>
          <w:color w:val="1F3864"/>
          <w:sz w:val="22"/>
          <w:szCs w:val="22"/>
        </w:rPr>
        <w:t xml:space="preserve">    4.B</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Scope Gaps</w:t>
      </w:r>
    </w:p>
    <w:p>
      <w:pPr>
        <w:spacing w:after="80" w:before="80"/>
      </w:pPr>
      <w:r>
        <w:rPr>
          <w:rFonts w:ascii="Calibri" w:cs="Calibri" w:eastAsia="Calibri" w:hAnsi="Calibri"/>
          <w:b/>
          <w:bCs/>
          <w:color w:val="1F3864"/>
          <w:sz w:val="22"/>
          <w:szCs w:val="22"/>
        </w:rPr>
        <w:t xml:space="preserve">Section 5</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Cost and Schedule Exposure Summary</w:t>
      </w:r>
    </w:p>
    <w:p>
      <w:pPr>
        <w:spacing w:after="80" w:before="80"/>
      </w:pPr>
      <w:r>
        <w:rPr>
          <w:rFonts w:ascii="Calibri" w:cs="Calibri" w:eastAsia="Calibri" w:hAnsi="Calibri"/>
          <w:b/>
          <w:bCs/>
          <w:color w:val="1F3864"/>
          <w:sz w:val="22"/>
          <w:szCs w:val="22"/>
        </w:rPr>
        <w:t xml:space="preserve">    5.A</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Cost Exposure</w:t>
      </w:r>
    </w:p>
    <w:p>
      <w:pPr>
        <w:spacing w:after="80" w:before="80"/>
      </w:pPr>
      <w:r>
        <w:rPr>
          <w:rFonts w:ascii="Calibri" w:cs="Calibri" w:eastAsia="Calibri" w:hAnsi="Calibri"/>
          <w:b/>
          <w:bCs/>
          <w:color w:val="1F3864"/>
          <w:sz w:val="22"/>
          <w:szCs w:val="22"/>
        </w:rPr>
        <w:t xml:space="preserve">    5.B</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Schedule Exposure</w:t>
      </w:r>
    </w:p>
    <w:p>
      <w:pPr>
        <w:spacing w:after="80" w:before="80"/>
      </w:pPr>
      <w:r>
        <w:rPr>
          <w:rFonts w:ascii="Calibri" w:cs="Calibri" w:eastAsia="Calibri" w:hAnsi="Calibri"/>
          <w:b/>
          <w:bCs/>
          <w:color w:val="1F3864"/>
          <w:sz w:val="22"/>
          <w:szCs w:val="22"/>
        </w:rPr>
        <w:t xml:space="preserve">Section 6</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Conflict Register Summary</w:t>
      </w:r>
    </w:p>
    <w:p>
      <w:pPr>
        <w:spacing w:after="80" w:before="80"/>
      </w:pPr>
      <w:r>
        <w:rPr>
          <w:rFonts w:ascii="Calibri" w:cs="Calibri" w:eastAsia="Calibri" w:hAnsi="Calibri"/>
          <w:b/>
          <w:bCs/>
          <w:color w:val="1F3864"/>
          <w:sz w:val="22"/>
          <w:szCs w:val="22"/>
        </w:rPr>
        <w:t xml:space="preserve">Section 7</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Document Lineage Log</w:t>
      </w:r>
    </w:p>
    <w:p>
      <w:pPr>
        <w:spacing w:after="80" w:before="80"/>
      </w:pPr>
      <w:r>
        <w:rPr>
          <w:rFonts w:ascii="Calibri" w:cs="Calibri" w:eastAsia="Calibri" w:hAnsi="Calibri"/>
          <w:b/>
          <w:bCs/>
          <w:color w:val="1F3864"/>
          <w:sz w:val="22"/>
          <w:szCs w:val="22"/>
        </w:rPr>
        <w:t xml:space="preserve">Section 8</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Next Cycle Dependencies</w:t>
      </w:r>
    </w:p>
    <w:p>
      <w:pPr>
        <w:spacing w:after="80" w:before="80"/>
      </w:pPr>
      <w:r>
        <w:rPr>
          <w:rFonts w:ascii="Calibri" w:cs="Calibri" w:eastAsia="Calibri" w:hAnsi="Calibri"/>
          <w:b/>
          <w:bCs/>
          <w:color w:val="1F3864"/>
          <w:sz w:val="22"/>
          <w:szCs w:val="22"/>
        </w:rPr>
        <w:t xml:space="preserve">Appendix A</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Deviation Report and Recommended Corrections</w:t>
      </w:r>
    </w:p>
    <w:p>
      <w:pPr>
        <w:spacing w:after="0" w:before="360"/>
      </w:pPr>
      <w:r>
        <w:rPr>
          <w:rFonts w:ascii="Calibri" w:cs="Calibri" w:eastAsia="Calibri" w:hAnsi="Calibri"/>
          <w:b/>
          <w:bCs/>
          <w:color w:val="1F3864"/>
          <w:sz w:val="20"/>
          <w:szCs w:val="20"/>
        </w:rPr>
        <w:t xml:space="preserve">About this report. </w:t>
      </w:r>
      <w:r>
        <w:rPr>
          <w:rFonts w:ascii="Calibri" w:cs="Calibri" w:eastAsia="Calibri" w:hAnsi="Calibri"/>
          <w:sz w:val="20"/>
          <w:szCs w:val="20"/>
        </w:rPr>
        <w:t xml:space="preserve">The Requirements Intelligence Report™ (RIR) is Gallant Project Solutions' primary client-facing deliverable under requirements-management engagements. It serves two functions simultaneously: data delivery — presenting the structured requirements register, status, conflicts, and document history in a readable form; and advisory output — applying Gallant's analytical methodology and Greg Tuite, PE PMP's consulting judgment to interpret the data and recommend specific actions. This Baseline Run RIR establishes the requirements baseline for Heritage Health Campus at the start of design.</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1 — Project Snapshot</w:t>
      </w:r>
    </w:p>
    <w:p>
      <w:pPr>
        <w:spacing w:after="60" w:before="60" w:line="280"/>
        <w:jc w:val="both"/>
      </w:pPr>
      <w:r>
        <w:rPr>
          <w:rFonts w:ascii="Calibri" w:cs="Calibri" w:eastAsia="Calibri" w:hAnsi="Calibri"/>
          <w:sz w:val="20"/>
          <w:szCs w:val="20"/>
        </w:rPr>
        <w:t xml:space="preserve">Establishes the register version and document set this report reflects. Structured data only; no narrative.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Requirements Register. </w:t>
            </w:r>
            <w:r>
              <w:rPr>
                <w:rFonts w:ascii="Calibri" w:cs="Calibri" w:eastAsia="Calibri" w:hAnsi="Calibri"/>
                <w:sz w:val="20"/>
                <w:szCs w:val="20"/>
              </w:rPr>
              <w:t xml:space="preserve">The Requirements Register is the master list of the binding requirements the project must satisfy — program criteria, regulatory mandates, lease obligations, milestones, equipment specifications, and scope commitments, all in one place. Each entry carries a unique identifier (GR-XXXX), a source document, an owner, a criticality rating, and a verification status. The register is the single source of truth that owner, designer, contractor, and auditor can all read from. The other sections in this report draw from it.</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Field</w:t>
            </w:r>
          </w:p>
        </w:tc>
        <w:tc>
          <w:tcPr>
            <w:tcW w:type="dxa" w:w="6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Value</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Report Date</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January 28, 2025</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Version</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 (matches Lineage Log Entry 5)</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Name</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 Northstar Ambulatory Care Clinic</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Phase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Pre-Schematic Design (entering SD; A/E NTP scheduled May 5, 2025)</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Delivery Method</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Hybrid — Base Building: CMAR (Cornerstone Construction); Tenant Improvement: A/E-led design with separate TI bid</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 Requirements</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 (54 GOVERNING + 16 DECISION-PENDING)</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Documents Processed</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(D1 TJC Reg · D2 OPC Rev. 2 · D3 Programming Doc · D4 Milestone Schedule · D5 Equipment Schedule)</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Requirements Added This 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 (Baseline — all classifications NEW)</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Conflicts</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 (CF-001 through CF-006)</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Open DECISION-PENDING Items</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 (Target: 0 by 50% SD gate — July 11, 2025)</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Identified Gaps</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 GAP-status records; 7 records carry SCOPE_GAP risk-driver flag</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Period</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Baseline established January 28, 2025</w:t>
            </w:r>
          </w:p>
        </w:tc>
      </w:tr>
    </w:tbl>
    <w:p>
      <w:pPr>
        <w:spacing w:after="60" w:before="200"/>
      </w:pPr>
      <w:r>
        <w:rPr>
          <w:rFonts w:ascii="Calibri" w:cs="Calibri" w:eastAsia="Calibri" w:hAnsi="Calibri"/>
          <w:b/>
          <w:bCs/>
          <w:color w:val="C9A227"/>
          <w:sz w:val="22"/>
          <w:szCs w:val="22"/>
        </w:rPr>
        <w:t xml:space="preserve">AT-A-GLANCE</w:t>
      </w:r>
    </w:p>
    <w:p>
      <w:pPr>
        <w:pBdr>
          <w:bottom w:val="single" w:color="C9A227" w:sz="12" w:space="4"/>
        </w:pBdr>
        <w:spacing w:after="120" w:before="0"/>
      </w:pPr>
      <w:r>
        <w:rPr>
          <w:rFonts w:ascii="Calibri" w:cs="Calibri" w:eastAsia="Calibri" w:hAnsi="Calibri"/>
          <w:b/>
          <w:bCs/>
          <w:color w:val="1F3864"/>
          <w:sz w:val="32"/>
          <w:szCs w:val="32"/>
        </w:rPr>
        <w:t xml:space="preserve">PROJECT KPIs AT BASELINE</w:t>
      </w:r>
    </w:p>
    <w:p>
      <w:pPr>
        <w:spacing w:after="240" w:before="0"/>
        <w:jc w:val="both"/>
      </w:pPr>
      <w:r>
        <w:rPr>
          <w:rFonts w:ascii="Calibri" w:cs="Calibri" w:eastAsia="Calibri" w:hAnsi="Calibri"/>
          <w:i/>
          <w:iCs/>
          <w:color w:val="475569"/>
          <w:sz w:val="20"/>
          <w:szCs w:val="20"/>
        </w:rPr>
        <w:t xml:space="preserve">Five-second view of the project's risk profile entering Schematic Design.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C7D1" w:sz="4"/>
              <w:left w:val="single" w:color="BFC7D1" w:sz="4"/>
              <w:bottom w:val="single" w:color="BFC7D1" w:sz="4"/>
              <w:right w:val="single" w:color="BFC7D1" w:sz="4"/>
            </w:tcBorders>
            <w:shd w:fill="D97706"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Open Owner Decisions</w:t>
            </w:r>
          </w:p>
          <w:p>
            <w:pPr>
              <w:spacing w:after="60" w:before="0"/>
              <w:jc w:val="center"/>
            </w:pPr>
            <w:r>
              <w:rPr>
                <w:rFonts w:ascii="Calibri" w:cs="Calibri" w:eastAsia="Calibri" w:hAnsi="Calibri"/>
                <w:b/>
                <w:bCs/>
                <w:color w:val="FFFFFF"/>
                <w:sz w:val="72"/>
                <w:szCs w:val="72"/>
              </w:rPr>
              <w:t xml:space="preserve">16</w:t>
            </w:r>
          </w:p>
          <w:p>
            <w:pPr>
              <w:spacing w:after="0" w:before="0"/>
              <w:jc w:val="center"/>
            </w:pPr>
            <w:r>
              <w:rPr>
                <w:rFonts w:ascii="Calibri" w:cs="Calibri" w:eastAsia="Calibri" w:hAnsi="Calibri"/>
                <w:color w:val="FFFFFF"/>
                <w:sz w:val="16"/>
                <w:szCs w:val="16"/>
              </w:rPr>
              <w:t xml:space="preserve">All 16 must close before Design Development authorization.</w:t>
            </w:r>
          </w:p>
        </w:tc>
        <w:tc>
          <w:tcPr>
            <w:tcW w:type="dxa" w:w="5040"/>
            <w:tcBorders>
              <w:top w:val="single" w:color="BFC7D1" w:sz="4"/>
              <w:left w:val="single" w:color="BFC7D1" w:sz="4"/>
              <w:bottom w:val="single" w:color="BFC7D1" w:sz="4"/>
              <w:right w:val="single" w:color="BFC7D1" w:sz="4"/>
            </w:tcBorders>
            <w:shd w:fill="D97706"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Active Conflicts</w:t>
            </w:r>
          </w:p>
          <w:p>
            <w:pPr>
              <w:spacing w:after="60" w:before="0"/>
              <w:jc w:val="center"/>
            </w:pPr>
            <w:r>
              <w:rPr>
                <w:rFonts w:ascii="Calibri" w:cs="Calibri" w:eastAsia="Calibri" w:hAnsi="Calibri"/>
                <w:b/>
                <w:bCs/>
                <w:color w:val="FFFFFF"/>
                <w:sz w:val="72"/>
                <w:szCs w:val="72"/>
              </w:rPr>
              <w:t xml:space="preserve">6</w:t>
            </w:r>
          </w:p>
          <w:p>
            <w:pPr>
              <w:spacing w:after="0" w:before="0"/>
              <w:jc w:val="center"/>
            </w:pPr>
            <w:r>
              <w:rPr>
                <w:rFonts w:ascii="Calibri" w:cs="Calibri" w:eastAsia="Calibri" w:hAnsi="Calibri"/>
                <w:color w:val="FFFFFF"/>
                <w:sz w:val="16"/>
                <w:szCs w:val="16"/>
              </w:rPr>
              <w:t xml:space="preserve">Three numeric, two scope-boundary, one regulatory framework.</w:t>
            </w:r>
          </w:p>
        </w:tc>
      </w:tr>
      <w:tr>
        <w:tc>
          <w:tcPr>
            <w:tcW w:type="dxa" w:w="5040"/>
            <w:tcBorders>
              <w:top w:val="single" w:color="BFC7D1" w:sz="4"/>
              <w:left w:val="single" w:color="BFC7D1" w:sz="4"/>
              <w:bottom w:val="single" w:color="BFC7D1" w:sz="4"/>
              <w:right w:val="single" w:color="BFC7D1" w:sz="4"/>
            </w:tcBorders>
            <w:shd w:fill="D97706"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Critical-Impact Records</w:t>
            </w:r>
          </w:p>
          <w:p>
            <w:pPr>
              <w:spacing w:after="60" w:before="0"/>
              <w:jc w:val="center"/>
            </w:pPr>
            <w:r>
              <w:rPr>
                <w:rFonts w:ascii="Calibri" w:cs="Calibri" w:eastAsia="Calibri" w:hAnsi="Calibri"/>
                <w:b/>
                <w:bCs/>
                <w:color w:val="FFFFFF"/>
                <w:sz w:val="72"/>
                <w:szCs w:val="72"/>
              </w:rPr>
              <w:t xml:space="preserve">30%</w:t>
            </w:r>
          </w:p>
          <w:p>
            <w:pPr>
              <w:spacing w:after="0" w:before="0"/>
              <w:jc w:val="center"/>
            </w:pPr>
            <w:r>
              <w:rPr>
                <w:rFonts w:ascii="Calibri" w:cs="Calibri" w:eastAsia="Calibri" w:hAnsi="Calibri"/>
                <w:color w:val="FFFFFF"/>
                <w:sz w:val="16"/>
                <w:szCs w:val="16"/>
              </w:rPr>
              <w:t xml:space="preserve">At the 30% ceiling Gallant considers healthy. No room above.</w:t>
            </w:r>
          </w:p>
        </w:tc>
        <w:tc>
          <w:tcPr>
            <w:tcW w:type="dxa" w:w="5040"/>
            <w:tcBorders>
              <w:top w:val="single" w:color="BFC7D1" w:sz="4"/>
              <w:left w:val="single" w:color="BFC7D1" w:sz="4"/>
              <w:bottom w:val="single" w:color="BFC7D1" w:sz="4"/>
              <w:right w:val="single" w:color="BFC7D1" w:sz="4"/>
            </w:tcBorders>
            <w:shd w:fill="B91C1C"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Cost Variance</w:t>
            </w:r>
          </w:p>
          <w:p>
            <w:pPr>
              <w:spacing w:after="60" w:before="0"/>
              <w:jc w:val="center"/>
            </w:pPr>
            <w:r>
              <w:rPr>
                <w:rFonts w:ascii="Calibri" w:cs="Calibri" w:eastAsia="Calibri" w:hAnsi="Calibri"/>
                <w:b/>
                <w:bCs/>
                <w:color w:val="FFFFFF"/>
                <w:sz w:val="72"/>
                <w:szCs w:val="72"/>
              </w:rPr>
              <w:t xml:space="preserve">5.9%</w:t>
            </w:r>
          </w:p>
          <w:p>
            <w:pPr>
              <w:spacing w:after="0" w:before="0"/>
              <w:jc w:val="center"/>
            </w:pPr>
            <w:r>
              <w:rPr>
                <w:rFonts w:ascii="Calibri" w:cs="Calibri" w:eastAsia="Calibri" w:hAnsi="Calibri"/>
                <w:color w:val="FFFFFF"/>
                <w:sz w:val="16"/>
                <w:szCs w:val="16"/>
              </w:rPr>
              <w:t xml:space="preserve">Above the 5% Value Engineering trigger threshold.</w:t>
            </w:r>
          </w:p>
        </w:tc>
      </w:tr>
    </w:tbl>
    <w:p>
      <w:pPr>
        <w:spacing w:after="0" w:before="2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D97706" w:val="clear"/>
            <w:tcMar>
              <w:top w:type="dxa" w:w="200"/>
              <w:left w:type="dxa" w:w="200"/>
              <w:bottom w:type="dxa" w:w="200"/>
              <w:right w:type="dxa" w:w="200"/>
            </w:tcMar>
          </w:tcPr>
          <w:p>
            <w:pPr>
              <w:spacing w:after="40" w:before="0"/>
              <w:jc w:val="center"/>
            </w:pPr>
            <w:r>
              <w:rPr>
                <w:rFonts w:ascii="Calibri" w:cs="Calibri" w:eastAsia="Calibri" w:hAnsi="Calibri"/>
                <w:b/>
                <w:bCs/>
                <w:color w:val="FFFFFF"/>
                <w:sz w:val="16"/>
                <w:szCs w:val="16"/>
              </w:rPr>
              <w:t xml:space="preserve">CONFIDENCE</w:t>
            </w:r>
          </w:p>
          <w:p>
            <w:pPr>
              <w:spacing w:after="40" w:before="0"/>
              <w:jc w:val="center"/>
            </w:pPr>
            <w:r>
              <w:rPr>
                <w:rFonts w:ascii="Calibri" w:cs="Calibri" w:eastAsia="Calibri" w:hAnsi="Calibri"/>
                <w:b/>
                <w:bCs/>
                <w:color w:val="FFFFFF"/>
                <w:sz w:val="16"/>
                <w:szCs w:val="16"/>
              </w:rPr>
              <w:t xml:space="preserve">ON NEXT GATE</w:t>
            </w:r>
          </w:p>
          <w:p>
            <w:pPr>
              <w:spacing w:after="0" w:before="80"/>
              <w:jc w:val="center"/>
            </w:pPr>
            <w:r>
              <w:rPr>
                <w:rFonts w:ascii="Calibri" w:cs="Calibri" w:eastAsia="Calibri" w:hAnsi="Calibri"/>
                <w:b/>
                <w:bCs/>
                <w:color w:val="FFFFFF"/>
                <w:sz w:val="44"/>
                <w:szCs w:val="44"/>
              </w:rPr>
              <w:t xml:space="preserve">AMBER</w:t>
            </w:r>
          </w:p>
        </w:tc>
        <w:tc>
          <w:tcPr>
            <w:tcW w:type="dxa" w:w="7680"/>
            <w:tcBorders>
              <w:top w:val="single" w:color="BFC7D1" w:sz="4"/>
              <w:left w:val="single" w:color="BFC7D1" w:sz="4"/>
              <w:bottom w:val="single" w:color="BFC7D1" w:sz="4"/>
              <w:right w:val="single" w:color="BFC7D1" w:sz="4"/>
            </w:tcBorders>
            <w:shd w:fill="F8FAFC" w:val="clear"/>
            <w:tcMar>
              <w:top w:type="dxa" w:w="200"/>
              <w:left w:type="dxa" w:w="240"/>
              <w:bottom w:type="dxa" w:w="200"/>
              <w:right w:type="dxa" w:w="240"/>
            </w:tcMar>
          </w:tcPr>
          <w:p>
            <w:pPr>
              <w:spacing w:after="0" w:before="0"/>
              <w:jc w:val="both"/>
            </w:pPr>
            <w:r>
              <w:rPr>
                <w:rFonts w:ascii="Calibri" w:cs="Calibri" w:eastAsia="Calibri" w:hAnsi="Calibri"/>
                <w:sz w:val="20"/>
                <w:szCs w:val="20"/>
              </w:rPr>
              <w:t xml:space="preserve">Next gate (50% SD review, July 11, 2025): at risk. Two overdue inputs (Geotechnical Report, AHJ Pre-Application) gate eight downstream records and the VE-01 cost recovery. Recoverable through immediate owner escalation; not recoverable if June 1 passes without movement.</w:t>
            </w:r>
          </w:p>
        </w:tc>
      </w:tr>
    </w:tbl>
    <w:p>
      <w:pPr>
        <w:spacing w:after="0" w:before="200"/>
      </w:pPr>
      <w:r>
        <w:rPr>
          <w:rFonts w:ascii="Calibri" w:cs="Calibri" w:eastAsia="Calibri" w:hAnsi="Calibri"/>
          <w:sz w:val="12"/>
          <w:szCs w:val="12"/>
        </w:rPr>
        <w:t xml:space="preserve"/>
      </w:r>
    </w:p>
    <w:p>
      <w:pPr>
        <w:spacing w:after="0" w:before="0"/>
        <w:jc w:val="both"/>
      </w:pPr>
      <w:r>
        <w:rPr>
          <w:rFonts w:ascii="Calibri" w:cs="Calibri" w:eastAsia="Calibri" w:hAnsi="Calibri"/>
          <w:i/>
          <w:iCs/>
          <w:color w:val="475569"/>
          <w:sz w:val="18"/>
          <w:szCs w:val="18"/>
        </w:rPr>
        <w:t xml:space="preserve">First report — no prior cycle to compare against. Trend indicators apply from Cycle 1 onward.</w:t>
      </w:r>
    </w:p>
    <w:p>
      <w:r>
        <w:br w:type="page"/>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2 — Executive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40" w:before="40"/>
            </w:pPr>
            <w:r>
              <w:rPr>
                <w:rFonts w:ascii="Calibri" w:cs="Calibri" w:eastAsia="Calibri" w:hAnsi="Calibri"/>
                <w:sz w:val="20"/>
                <w:szCs w:val="20"/>
              </w:rPr>
              <w:t xml:space="preserve">Where the project stands. This report establishes the requirements baseline for Heritage Health Campus at the start of design. Findings below are framed as the project's risk profile entering Schematic Design — not as cycle-over-cycle change. The owner's team should treat each finding as an action item that must be assigned and tracked through to the 50% SD gate on July 11, 2025.</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Five findings warrant the owner's attention before the design team begins. Each names a specific condition in the project record, the consequence if it is not addressed, and the action that closes it. Specific requirement and conflict identifiers are referenced throughout so the owner's PM can route each finding to the responsible party for resolution.</w:t>
      </w:r>
    </w:p>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80" w:before="0"/>
            </w:pPr>
            <w:r>
              <w:rPr>
                <w:rFonts w:ascii="Calibri" w:cs="Calibri" w:eastAsia="Calibri" w:hAnsi="Calibri"/>
                <w:b/>
                <w:bCs/>
                <w:color w:val="1F3864"/>
                <w:sz w:val="24"/>
                <w:szCs w:val="24"/>
              </w:rPr>
              <w:t xml:space="preserve">Finding 1.  </w:t>
            </w:r>
            <w:r>
              <w:rPr>
                <w:rFonts w:ascii="Calibri" w:cs="Calibri" w:eastAsia="Calibri" w:hAnsi="Calibri"/>
                <w:b/>
                <w:bCs/>
                <w:color w:val="1F3864"/>
                <w:sz w:val="24"/>
                <w:szCs w:val="24"/>
              </w:rPr>
              <w:t xml:space="preserve">Sixteen owner decisions are open against a 50% SD gate that is twenty-three weeks out.</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The register carries sixteen DECISION-PENDING items as of baseline (View 8). These are not Gallant deliverables — they are owner actions that must close before the design team can finalize Schematic Design. Five require the owner to establish a value that is not yet in any source document (TBD-UNRESOLVED); nine are blocked by an upstream decision and will close in chain (CONDITIONAL); two require a vendor selection between two equally acceptable alternatives (EMBEDDED-CHOICE — Siemens vs. GE MRI). Two items are already overdue at baseline: the Geotechnical Report (GR-0020, due June 6, 2025) and the AHJ pre-application (GR-0021, due May 23, 2025).</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Per Gallant methodology, the open count must reach zero before the design team can be authorized to proceed into Design Development. With the project's most consequential records (those rated Critical for change impact) running at thirty percent of the register — the maximum concentration Gallant considers healthy — every additional week these decisions remain open compresses the design team's response window when answers do arrive. Two specific cascades are visible: the AHJ response unlocks corridor widths, occupancy, FGI edition, and egress for eight downstream records; the MRI vendor unlocks structural, RF shielding, equipment room, and procurement for four downstream records.</w:t>
            </w:r>
          </w:p>
          <w:p>
            <w:pPr>
              <w:spacing w:after="0" w:before="40"/>
              <w:jc w:val="both"/>
            </w:pPr>
            <w:r>
              <w:rPr>
                <w:rFonts w:ascii="Calibri" w:cs="Calibri" w:eastAsia="Calibri" w:hAnsi="Calibri"/>
                <w:b/>
                <w:bCs/>
                <w:color w:val="C9A227"/>
                <w:sz w:val="20"/>
                <w:szCs w:val="20"/>
              </w:rPr>
              <w:t xml:space="preserve">Recommended Action. </w:t>
            </w:r>
            <w:r>
              <w:rPr>
                <w:rFonts w:ascii="Calibri" w:cs="Calibri" w:eastAsia="Calibri" w:hAnsi="Calibri"/>
                <w:sz w:val="20"/>
                <w:szCs w:val="20"/>
              </w:rPr>
              <w:t xml:space="preserve">Owner's PM and Tenant Facilities Lead jointly assign owners and deadlines to each of the sixteen items at the next coordination meeting. Section 4.A presents them as a structured action register grouped by decision type. Recommend a weekly decision-burndown review through the 50% SD gate.</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80" w:before="0"/>
            </w:pPr>
            <w:r>
              <w:rPr>
                <w:rFonts w:ascii="Calibri" w:cs="Calibri" w:eastAsia="Calibri" w:hAnsi="Calibri"/>
                <w:b/>
                <w:bCs/>
                <w:color w:val="1F3864"/>
                <w:sz w:val="24"/>
                <w:szCs w:val="24"/>
              </w:rPr>
              <w:t xml:space="preserve">Finding 2.  </w:t>
            </w:r>
            <w:r>
              <w:rPr>
                <w:rFonts w:ascii="Calibri" w:cs="Calibri" w:eastAsia="Calibri" w:hAnsi="Calibri"/>
                <w:b/>
                <w:bCs/>
                <w:color w:val="1F3864"/>
                <w:sz w:val="24"/>
                <w:szCs w:val="24"/>
              </w:rPr>
              <w:t xml:space="preserve">The MRI vendor decision (Siemens vs. GE) is the single largest design-driver remaining at baseline.</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Equipment Schedule v1.0 lists both Siemens MAGNETOM Altea and GE SIGNA Creator as under active evaluation by Northstar Biomedical Engineering. The two options carry different magnet weights (7,700 lb vs. 8,100 lb — CF-004), different equipment-room footprints (200 NSF vs. 240 NSF — CF-002), different RF-shielding specifications, and different procurement lead times. The structural engineer (SER) is currently proceeding on the Siemens basis per kickoff agreement, but the structural narrative for 30% DD cannot be finalized without a written vendor confirmation.</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If the GE option is selected after structural narrative submission, the MRI room slab and foundation design require revision and the imaging suite floor plan loses 40 NSF that must be recovered elsewhere. RF shielding contractor engagement (GR-0023, due October 31, 2025) cannot proceed until the vendor is fixed. The MRI pre-enclosure construction sequence (GR-0024) is one of the project's irreversible critical-path events — if the magnet is not in place before wall enclosure, demolition is required, with severe schedule and cost consequences.</w:t>
            </w:r>
          </w:p>
          <w:p>
            <w:pPr>
              <w:spacing w:after="0" w:before="40"/>
              <w:jc w:val="both"/>
            </w:pPr>
            <w:r>
              <w:rPr>
                <w:rFonts w:ascii="Calibri" w:cs="Calibri" w:eastAsia="Calibri" w:hAnsi="Calibri"/>
                <w:b/>
                <w:bCs/>
                <w:color w:val="C9A227"/>
                <w:sz w:val="20"/>
                <w:szCs w:val="20"/>
              </w:rPr>
              <w:t xml:space="preserve">Recommended Action. </w:t>
            </w:r>
            <w:r>
              <w:rPr>
                <w:rFonts w:ascii="Calibri" w:cs="Calibri" w:eastAsia="Calibri" w:hAnsi="Calibri"/>
                <w:sz w:val="20"/>
                <w:szCs w:val="20"/>
              </w:rPr>
              <w:t xml:space="preserve">Biomedical Engineering Lead issue written vendor confirmation to A/E and Gallant by June 13, 2025 (the SMR-002 deadline). If the decision will slip, formally adopt Siemens as the design basis and accept the rework risk in writing. Do not allow the design team to carry both options past 50% SD.</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80" w:before="0"/>
            </w:pPr>
            <w:r>
              <w:rPr>
                <w:rFonts w:ascii="Calibri" w:cs="Calibri" w:eastAsia="Calibri" w:hAnsi="Calibri"/>
                <w:b/>
                <w:bCs/>
                <w:color w:val="1F3864"/>
                <w:sz w:val="24"/>
                <w:szCs w:val="24"/>
              </w:rPr>
              <w:t xml:space="preserve">Finding 3.  </w:t>
            </w:r>
            <w:r>
              <w:rPr>
                <w:rFonts w:ascii="Calibri" w:cs="Calibri" w:eastAsia="Calibri" w:hAnsi="Calibri"/>
                <w:b/>
                <w:bCs/>
                <w:color w:val="1F3864"/>
                <w:sz w:val="24"/>
                <w:szCs w:val="24"/>
              </w:rPr>
              <w:t xml:space="preserve">The generator question is a budget event in disguise — and it is blocking three downstream requirements.</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OPC §4.2 estimates 150 kW for clinical EES loads. Programming Document §C provides for a 200 kW base-building life-safety generator. The combined NFPA 99 Category 1 requirement is 350 kW minimum. Neither document acknowledges the combined-load requirement and the NNN Lease Exhibit D is silent on the upsize cost allocation (CF-001, GR-0029). The cost delta is estimated at $180,000 to $260,000. Three downstream records — generator procurement (GR-0022), Category 1 EES (GR-0056), and the clinical ATS (GR-0067) — cannot be finalized until the upsize cost is assigned in writing.</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The Total Project Cost is currently estimated at $72M against a $68M Board-authorized ceiling (BCR-001 / GR-0027) — a 5.9% variance that already exceeds the BCR-004 VE trigger. Resolving the generator allocation cleanly preserves the path to a documented variance request; leaving it open invites it to land on the 50% SD cost reconciliation as an unwelcome surprise. Generator lead time is 20 to 28 weeks; if procurement is not initiated by October 31, 2025, the unit cannot arrive for the construction energize milestone.</w:t>
            </w:r>
          </w:p>
          <w:p>
            <w:pPr>
              <w:spacing w:after="0" w:before="40"/>
              <w:jc w:val="both"/>
            </w:pPr>
            <w:r>
              <w:rPr>
                <w:rFonts w:ascii="Calibri" w:cs="Calibri" w:eastAsia="Calibri" w:hAnsi="Calibri"/>
                <w:b/>
                <w:bCs/>
                <w:color w:val="C9A227"/>
                <w:sz w:val="20"/>
                <w:szCs w:val="20"/>
              </w:rPr>
              <w:t xml:space="preserve">Recommended Action. </w:t>
            </w:r>
            <w:r>
              <w:rPr>
                <w:rFonts w:ascii="Calibri" w:cs="Calibri" w:eastAsia="Calibri" w:hAnsi="Calibri"/>
                <w:sz w:val="20"/>
                <w:szCs w:val="20"/>
              </w:rPr>
              <w:t xml:space="preserve">Owner's PM and Tenant Facilities Lead execute a written scope-allocation memo (or NNN Lease side letter) before the 50% SD gate on July 11, 2025. Concurrently, BCR-004 VE-01 (foundation savings of $180K–$340K) requires the geotechnical report (GR-0020) — escalate that finding immediately as it is the most accessible offset to the variance.</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80" w:before="0"/>
            </w:pPr>
            <w:r>
              <w:rPr>
                <w:rFonts w:ascii="Calibri" w:cs="Calibri" w:eastAsia="Calibri" w:hAnsi="Calibri"/>
                <w:b/>
                <w:bCs/>
                <w:color w:val="1F3864"/>
                <w:sz w:val="24"/>
                <w:szCs w:val="24"/>
              </w:rPr>
              <w:t xml:space="preserve">Finding 4.  </w:t>
            </w:r>
            <w:r>
              <w:rPr>
                <w:rFonts w:ascii="Calibri" w:cs="Calibri" w:eastAsia="Calibri" w:hAnsi="Calibri"/>
                <w:b/>
                <w:bCs/>
                <w:color w:val="1F3864"/>
                <w:sz w:val="24"/>
                <w:szCs w:val="24"/>
              </w:rPr>
              <w:t xml:space="preserve">The AHJ pre-application is the cheapest decision on the board and the most consequential if it slips.</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TJC Regulatory Summary RQ-002 requires the project to comply with the AHJ-adopted edition of FGI. No source document in the baseline set confirms whether NM Department of Health has adopted FGI 2022 or remains on FGI 2018 (CF-005). The A/E pre-application to NM DOH (GR-0021 / SMR-005) was due May 23, 2025. The response governs corridor widths (8-foot AHC vs. 44-inch Group B — GR-0035), AHC occupancy classification (GR-0044), egress travel distance and stair pressurization (GR-0046, GR-0061), FGI edition (GR-0043), imaging room classifications (GR-0048), and ICRA scope (GR-0019).</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The cost of submitting a pre-application is days of A/E time. The cost of carrying eight conditional records into 50% SD without an AHJ answer is real plan-revision risk if the answer arrives late and contradicts the planning assumption (FGI 2022 / AHC). Eight downstream records remain DECISION-PENDING or CONDITIONAL until the AHJ responds — a single document that unlocks the largest cluster of regulatory uncertainty in the register.</w:t>
            </w:r>
          </w:p>
          <w:p>
            <w:pPr>
              <w:spacing w:after="0" w:before="40"/>
              <w:jc w:val="both"/>
            </w:pPr>
            <w:r>
              <w:rPr>
                <w:rFonts w:ascii="Calibri" w:cs="Calibri" w:eastAsia="Calibri" w:hAnsi="Calibri"/>
                <w:b/>
                <w:bCs/>
                <w:color w:val="C9A227"/>
                <w:sz w:val="20"/>
                <w:szCs w:val="20"/>
              </w:rPr>
              <w:t xml:space="preserve">Recommended Action. </w:t>
            </w:r>
            <w:r>
              <w:rPr>
                <w:rFonts w:ascii="Calibri" w:cs="Calibri" w:eastAsia="Calibri" w:hAnsi="Calibri"/>
                <w:sz w:val="20"/>
                <w:szCs w:val="20"/>
              </w:rPr>
              <w:t xml:space="preserve">Architect of Record (AOR) submit the pre-application to NM DOH this week if it has not already gone in, and copy Gallant on the receipt. Until response is received, design proceeds on the FGI 2022 / AHC planning basis. Recommend an AHJ-response watch item at every weekly coordination meeting.</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80" w:before="0"/>
            </w:pPr>
            <w:r>
              <w:rPr>
                <w:rFonts w:ascii="Calibri" w:cs="Calibri" w:eastAsia="Calibri" w:hAnsi="Calibri"/>
                <w:b/>
                <w:bCs/>
                <w:color w:val="1F3864"/>
                <w:sz w:val="24"/>
                <w:szCs w:val="24"/>
              </w:rPr>
              <w:t xml:space="preserve">Finding 5.  </w:t>
            </w:r>
            <w:r>
              <w:rPr>
                <w:rFonts w:ascii="Calibri" w:cs="Calibri" w:eastAsia="Calibri" w:hAnsi="Calibri"/>
                <w:b/>
                <w:bCs/>
                <w:color w:val="1F3864"/>
                <w:sz w:val="24"/>
                <w:szCs w:val="24"/>
              </w:rPr>
              <w:t xml:space="preserve">ICRA delivery is the gate item nobody is escalating, and it stops HVAC at the front door.</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Northstar's Infection Preventionist owes the project an Infection Control Risk Assessment by June 27, 2025 (GR-0019 / SMR-003). The ICRA governs HVAC zone boundaries, negative-pressure extents, and clinical-sink placement (GR-0051). Without it, MEP Engineer of Record (MEP-EOR) cannot finalize the 50% SD HVAC narrative. The MS-022 milestone shows ICRA as Northstar's deliverable but it is not currently tracked on the same cadence as the MRI and AHJ decisions.</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TJC AHC accreditation requires ICRA at the programming stage; absence at SD is a survey-finding risk in addition to a design-blocker. Hand-washing sink locations, plumbing rough-in scope, and ventilation pressure relationships all chain to ICRA delivery. Late ICRA against a fixed 50% SD date creates compressed-design rework, not gate slip — which is the more expensive failure mode.</w:t>
            </w:r>
          </w:p>
          <w:p>
            <w:pPr>
              <w:spacing w:after="0" w:before="40"/>
              <w:jc w:val="both"/>
            </w:pPr>
            <w:r>
              <w:rPr>
                <w:rFonts w:ascii="Calibri" w:cs="Calibri" w:eastAsia="Calibri" w:hAnsi="Calibri"/>
                <w:b/>
                <w:bCs/>
                <w:color w:val="C9A227"/>
                <w:sz w:val="20"/>
                <w:szCs w:val="20"/>
              </w:rPr>
              <w:t xml:space="preserve">Recommended Action. </w:t>
            </w:r>
            <w:r>
              <w:rPr>
                <w:rFonts w:ascii="Calibri" w:cs="Calibri" w:eastAsia="Calibri" w:hAnsi="Calibri"/>
                <w:sz w:val="20"/>
                <w:szCs w:val="20"/>
              </w:rPr>
              <w:t xml:space="preserve">Owner's Rep escalate ICRA delivery to Northstar Clinical leadership this week. Treat ICRA on the same priority tier as the MRI vendor and AHJ response in weekly status. If ICRA will slip past June 27, request a written interim decision from the Infection Preventionist on HVAC zone boundaries so the A/E can advance the SD HVAC narrative without it.</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3 — Requirements Readiness Dashboard</w:t>
      </w:r>
    </w:p>
    <w:p>
      <w:pPr>
        <w:spacing w:after="60" w:before="60" w:line="280"/>
        <w:jc w:val="both"/>
      </w:pPr>
      <w:r>
        <w:rPr>
          <w:rFonts w:ascii="Calibri" w:cs="Calibri" w:eastAsia="Calibri" w:hAnsi="Calibri"/>
          <w:sz w:val="20"/>
          <w:szCs w:val="20"/>
        </w:rPr>
        <w:t xml:space="preserve">Eight required dashboard views. Each view is a different lens on the same register: status, type, discipline, criticality, phase readiness, risk drivers, coordination hotspots, and decision-pending items. Tables and counts dominate; the brief notes are limited to a single sentence per view. Where a view shows an item that needs executive attention, the item is cross-referenced to Section 4 (Top Priority Items) for the detailed treatment.</w:t>
      </w:r>
    </w:p>
    <w:p>
      <w:pPr>
        <w:spacing w:after="60" w:before="220"/>
      </w:pPr>
      <w:r>
        <w:rPr>
          <w:rFonts w:ascii="Calibri" w:cs="Calibri" w:eastAsia="Calibri" w:hAnsi="Calibri"/>
          <w:b/>
          <w:bCs/>
          <w:color w:val="C9A227"/>
          <w:sz w:val="22"/>
          <w:szCs w:val="22"/>
        </w:rPr>
        <w:t xml:space="preserve">View 1.  </w:t>
      </w:r>
      <w:r>
        <w:rPr>
          <w:rFonts w:ascii="Calibri" w:cs="Calibri" w:eastAsia="Calibri" w:hAnsi="Calibri"/>
          <w:b/>
          <w:bCs/>
          <w:color w:val="1F3864"/>
          <w:sz w:val="22"/>
          <w:szCs w:val="22"/>
        </w:rPr>
        <w:t xml:space="preserve">Status Distribution</w:t>
      </w:r>
    </w:p>
    <w:p>
      <w:pPr>
        <w:spacing w:after="60" w:before="60" w:line="280"/>
        <w:jc w:val="both"/>
      </w:pPr>
      <w:r>
        <w:rPr>
          <w:rFonts w:ascii="Calibri" w:cs="Calibri" w:eastAsia="Calibri" w:hAnsi="Calibri"/>
          <w:i/>
          <w:iCs/>
          <w:color w:val="475569"/>
          <w:sz w:val="20"/>
          <w:szCs w:val="20"/>
        </w:rPr>
        <w:t xml:space="preserve">Sixteen open owner decisions. All sixteen must close before Gallant can recommend the project move from Schematic Design into Design Development — these are the decisions the design team is waiting 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400"/>
        <w:gridCol w:w="3000"/>
        <w:gridCol w:w="1400"/>
        <w:gridCol w:w="12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RequirementStatus</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VerificationStatus</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2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Active</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GOVERNING (Active)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54</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Verified / Complete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In Progress (Pending)</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1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19%</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CONFLICT-PENDING (also tagged)</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Not Started</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56</w:t>
            </w:r>
          </w:p>
        </w:tc>
        <w:tc>
          <w:tcPr>
            <w:tcW w:type="dxa" w:w="1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80%</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GAP / SUPERSEDED</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w:t>
            </w:r>
          </w:p>
        </w:tc>
        <w:tc>
          <w:tcPr>
            <w:tcW w:type="dxa" w:w="1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100%</w:t>
            </w:r>
          </w:p>
        </w:tc>
      </w:tr>
    </w:tbl>
    <w:p>
      <w:pPr>
        <w:spacing w:after="60" w:before="220"/>
      </w:pPr>
      <w:r>
        <w:rPr>
          <w:rFonts w:ascii="Calibri" w:cs="Calibri" w:eastAsia="Calibri" w:hAnsi="Calibri"/>
          <w:b/>
          <w:bCs/>
          <w:color w:val="C9A227"/>
          <w:sz w:val="22"/>
          <w:szCs w:val="22"/>
        </w:rPr>
        <w:t xml:space="preserve">View 2.  </w:t>
      </w:r>
      <w:r>
        <w:rPr>
          <w:rFonts w:ascii="Calibri" w:cs="Calibri" w:eastAsia="Calibri" w:hAnsi="Calibri"/>
          <w:b/>
          <w:bCs/>
          <w:color w:val="1F3864"/>
          <w:sz w:val="22"/>
          <w:szCs w:val="22"/>
        </w:rPr>
        <w:t xml:space="preserve">Type Breakdown</w:t>
      </w:r>
    </w:p>
    <w:p>
      <w:pPr>
        <w:spacing w:after="60" w:before="60" w:line="280"/>
        <w:jc w:val="both"/>
      </w:pPr>
      <w:r>
        <w:rPr>
          <w:rFonts w:ascii="Calibri" w:cs="Calibri" w:eastAsia="Calibri" w:hAnsi="Calibri"/>
          <w:i/>
          <w:iCs/>
          <w:color w:val="475569"/>
          <w:sz w:val="20"/>
          <w:szCs w:val="20"/>
        </w:rPr>
        <w:t xml:space="preserve">Regulatory &amp; Compliance is the largest category at 21% of the register — typical for a healthcare TI project subject to TJC AHC accreditation.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1400"/>
        <w:gridCol w:w="5080"/>
      </w:tblGrid>
      <w:tr>
        <w:trPr>
          <w:tblHeader/>
        </w:trPr>
        <w:tc>
          <w:tcPr>
            <w:tcW w:type="dxa" w:w="3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Requirement Type / Category</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5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Source Documents</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FR — Functional Requirements</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(D2), TJC Reg Summary (D1)</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 — Performance Requirements</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TJC Reg Summary, Equipment Schedule (D5)</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SMR — Schedule &amp; Milestone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 (D3), Milestone Schedule (D4), Equipment Schedule (D5)</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BCR — Budget &amp; Cost</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Document (D3)</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PIR — Physical &amp; Interface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11</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(D2), Equipment Schedule (D5)</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RCR — Regulatory &amp; Compliance</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 (D1)</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SER — Sustainability &amp; Environmental</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(D2), Programming Doc (D3)</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SLR — Security &amp; Life-Safety</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(D2), TJC Reg Summary (D1)</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OMR — Operational &amp; Maintenance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(D2), Equipment Schedule (D5)</w:t>
            </w:r>
          </w:p>
        </w:tc>
      </w:tr>
      <w:tr>
        <w:trPr>
          <w:cantSplit w:val="false"/>
        </w:trPr>
        <w:tc>
          <w:tcPr>
            <w:tcW w:type="dxa" w:w="36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w:t>
            </w:r>
          </w:p>
        </w:tc>
        <w:tc>
          <w:tcPr>
            <w:tcW w:type="dxa" w:w="1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w:t>
            </w:r>
          </w:p>
        </w:tc>
        <w:tc>
          <w:tcPr>
            <w:tcW w:type="dxa" w:w="508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 documents (Baseline)</w:t>
            </w:r>
          </w:p>
        </w:tc>
      </w:tr>
    </w:tbl>
    <w:p>
      <w:pPr>
        <w:spacing w:after="60" w:before="220"/>
      </w:pPr>
      <w:r>
        <w:rPr>
          <w:rFonts w:ascii="Calibri" w:cs="Calibri" w:eastAsia="Calibri" w:hAnsi="Calibri"/>
          <w:b/>
          <w:bCs/>
          <w:color w:val="C9A227"/>
          <w:sz w:val="22"/>
          <w:szCs w:val="22"/>
        </w:rPr>
        <w:t xml:space="preserve">View 3.  </w:t>
      </w:r>
      <w:r>
        <w:rPr>
          <w:rFonts w:ascii="Calibri" w:cs="Calibri" w:eastAsia="Calibri" w:hAnsi="Calibri"/>
          <w:b/>
          <w:bCs/>
          <w:color w:val="1F3864"/>
          <w:sz w:val="22"/>
          <w:szCs w:val="22"/>
        </w:rPr>
        <w:t xml:space="preserve">Discipline Breakdown</w:t>
      </w:r>
    </w:p>
    <w:p>
      <w:pPr>
        <w:spacing w:after="60" w:before="60" w:line="280"/>
        <w:jc w:val="both"/>
      </w:pPr>
      <w:r>
        <w:rPr>
          <w:rFonts w:ascii="Calibri" w:cs="Calibri" w:eastAsia="Calibri" w:hAnsi="Calibri"/>
          <w:i/>
          <w:iCs/>
          <w:color w:val="475569"/>
          <w:sz w:val="20"/>
          <w:szCs w:val="20"/>
        </w:rPr>
        <w:t xml:space="preserve">Architecture and Mechanical lead the register; both face the largest verification load through Substantial Completion.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1100"/>
        <w:gridCol w:w="1100"/>
        <w:gridCol w:w="1400"/>
        <w:gridCol w:w="3280"/>
      </w:tblGrid>
      <w:tr>
        <w:trPr>
          <w:tblHeader/>
        </w:trP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Responsible Discipline (Lead)</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Total</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DECISION-PENDING</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Register</w:t>
            </w:r>
          </w:p>
        </w:tc>
        <w:tc>
          <w:tcPr>
            <w:tcW w:type="dxa" w:w="32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Critical-Impact Concentration</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(incl. shared)</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33</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47%</w:t>
            </w:r>
          </w:p>
        </w:tc>
        <w:tc>
          <w:tcPr>
            <w:tcW w:type="dxa" w:w="3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Floor plans · MRI suite · PT · Egress · ICRA-driven</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Mechanical / HVAC / Controls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14%</w:t>
            </w:r>
          </w:p>
        </w:tc>
        <w:tc>
          <w:tcPr>
            <w:tcW w:type="dxa" w:w="3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ASHRAE 170 · Isolation · MRI 24/7 cooling</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Electrical / IT / Low-Voltage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11</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3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EES · UPS · ATS · Generator allocation</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Structural</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3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point load · PT slab · Acoustic assembly</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Plumbing</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9%</w:t>
            </w:r>
          </w:p>
        </w:tc>
        <w:tc>
          <w:tcPr>
            <w:tcW w:type="dxa" w:w="3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Hot water · Med gas · Floor drains · Sinks</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Fire Protection</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3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NFPA 13 sprinkler · Egress</w:t>
            </w:r>
          </w:p>
        </w:tc>
      </w:tr>
      <w:tr>
        <w:trPr>
          <w:cantSplit w:val="false"/>
        </w:trP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Management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2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TPC · TI · Generator · VE</w:t>
            </w:r>
          </w:p>
        </w:tc>
      </w:tr>
      <w:tr>
        <w:trPr>
          <w:cantSplit w:val="false"/>
        </w:trP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 Management / Regulatory</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2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issuance · MRI · ICRA · AHJ</w:t>
            </w:r>
          </w:p>
        </w:tc>
      </w:tr>
      <w:tr>
        <w:trPr>
          <w:cantSplit w:val="false"/>
        </w:trPr>
        <w:tc>
          <w:tcPr>
            <w:tcW w:type="dxa" w:w="32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ALLOCATIONS</w:t>
            </w:r>
          </w:p>
        </w:tc>
        <w:tc>
          <w:tcPr>
            <w:tcW w:type="dxa" w:w="11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75</w:t>
            </w:r>
          </w:p>
        </w:tc>
        <w:tc>
          <w:tcPr>
            <w:tcW w:type="dxa" w:w="11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Note: many records carry shared discipline ownership.</w:t>
            </w:r>
          </w:p>
        </w:tc>
        <w:tc>
          <w:tcPr>
            <w:tcW w:type="dxa" w:w="328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
            </w:r>
          </w:p>
        </w:tc>
      </w:tr>
    </w:tbl>
    <w:p>
      <w:pPr>
        <w:spacing w:after="60" w:before="220"/>
      </w:pPr>
      <w:r>
        <w:rPr>
          <w:rFonts w:ascii="Calibri" w:cs="Calibri" w:eastAsia="Calibri" w:hAnsi="Calibri"/>
          <w:b/>
          <w:bCs/>
          <w:color w:val="C9A227"/>
          <w:sz w:val="22"/>
          <w:szCs w:val="22"/>
        </w:rPr>
        <w:t xml:space="preserve">View 4.  </w:t>
      </w:r>
      <w:r>
        <w:rPr>
          <w:rFonts w:ascii="Calibri" w:cs="Calibri" w:eastAsia="Calibri" w:hAnsi="Calibri"/>
          <w:b/>
          <w:bCs/>
          <w:color w:val="1F3864"/>
          <w:sz w:val="22"/>
          <w:szCs w:val="22"/>
        </w:rPr>
        <w:t xml:space="preserve">Criticality Distribution</w:t>
      </w:r>
    </w:p>
    <w:p>
      <w:pPr>
        <w:spacing w:after="60" w:before="60" w:line="280"/>
        <w:jc w:val="both"/>
      </w:pPr>
      <w:r>
        <w:rPr>
          <w:rFonts w:ascii="Calibri" w:cs="Calibri" w:eastAsia="Calibri" w:hAnsi="Calibri"/>
          <w:i/>
          <w:iCs/>
          <w:color w:val="475569"/>
          <w:sz w:val="20"/>
          <w:szCs w:val="20"/>
        </w:rPr>
        <w:t xml:space="preserve">Critical Impact at 30.0 percent. 'Critical Impact' is Gallant's rating for any requirement where a change after design proceeds would force significant rework, schedule slip, or cost growth. Gallant considers a register healthy if no more than 30 percent of records are rated Critical — a higher concentration means the project carries too much risk in too few hands. The current register sits exactly at that 30 percent ceiling. Any new Critical records added in subsequent cycles will require explicit acknowledgment from the Owner's PM.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400"/>
        <w:gridCol w:w="50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CriticalityCategory</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Register</w:t>
            </w:r>
          </w:p>
        </w:tc>
        <w:tc>
          <w:tcPr>
            <w:tcW w:type="dxa" w:w="5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Status Note</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30.0%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At threshold (maximum 30%). PASS — but no further Critical adds without owner acknowledgment.</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32</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45.7%</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Largest group. Concentrated in MEP, structural, and regulatory chains.</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Moderate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14</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Primarily Architecture finishes, Plumbing, and Sustainability.</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Low</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4.3%</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Closeout (O&amp;M), Programming completion, Floor drain count.</w:t>
            </w:r>
          </w:p>
        </w:tc>
      </w:tr>
      <w:tr>
        <w:trPr>
          <w:cantSplit w:val="false"/>
        </w:trPr>
        <w:tc>
          <w:tcPr>
            <w:tcW w:type="dxa" w:w="2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w:t>
            </w:r>
          </w:p>
        </w:tc>
        <w:tc>
          <w:tcPr>
            <w:tcW w:type="dxa" w:w="12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w:t>
            </w:r>
          </w:p>
        </w:tc>
        <w:tc>
          <w:tcPr>
            <w:tcW w:type="dxa" w:w="1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100%</w:t>
            </w:r>
          </w:p>
        </w:tc>
        <w:tc>
          <w:tcPr>
            <w:tcW w:type="dxa" w:w="508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All records carry assigned ChangeImpactLevel.</w:t>
            </w:r>
          </w:p>
        </w:tc>
      </w:tr>
    </w:tbl>
    <w:p>
      <w:pPr>
        <w:spacing w:after="60" w:before="220"/>
      </w:pPr>
      <w:r>
        <w:rPr>
          <w:rFonts w:ascii="Calibri" w:cs="Calibri" w:eastAsia="Calibri" w:hAnsi="Calibri"/>
          <w:b/>
          <w:bCs/>
          <w:color w:val="C9A227"/>
          <w:sz w:val="22"/>
          <w:szCs w:val="22"/>
        </w:rPr>
        <w:t xml:space="preserve">View 5.  </w:t>
      </w:r>
      <w:r>
        <w:rPr>
          <w:rFonts w:ascii="Calibri" w:cs="Calibri" w:eastAsia="Calibri" w:hAnsi="Calibri"/>
          <w:b/>
          <w:bCs/>
          <w:color w:val="1F3864"/>
          <w:sz w:val="22"/>
          <w:szCs w:val="22"/>
        </w:rPr>
        <w:t xml:space="preserve">Phase Readiness Indicator</w:t>
      </w:r>
    </w:p>
    <w:p>
      <w:pPr>
        <w:spacing w:after="60" w:before="60" w:line="280"/>
        <w:jc w:val="both"/>
      </w:pPr>
      <w:r>
        <w:rPr>
          <w:rFonts w:ascii="Calibri" w:cs="Calibri" w:eastAsia="Calibri" w:hAnsi="Calibri"/>
          <w:i/>
          <w:iCs/>
          <w:color w:val="475569"/>
          <w:sz w:val="20"/>
          <w:szCs w:val="20"/>
        </w:rPr>
        <w:t xml:space="preserve">Project enters SD with one Verified record (programming completion) and 16 open owner decisions; readiness is appropriate for entering SD but inappropriate for entering DD without remediation.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1600"/>
        <w:gridCol w:w="4880"/>
      </w:tblGrid>
      <w:tr>
        <w:trPr>
          <w:tblHeader/>
        </w:trPr>
        <w:tc>
          <w:tcPr>
            <w:tcW w:type="dxa" w:w="3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Phase Readiness Metric</w:t>
            </w:r>
          </w:p>
        </w:tc>
        <w:tc>
          <w:tcPr>
            <w:tcW w:type="dxa" w:w="1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Value</w:t>
            </w:r>
          </w:p>
        </w:tc>
        <w:tc>
          <w:tcPr>
            <w:tcW w:type="dxa" w:w="4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Interpretation Against Gate Expectation</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with VerificationStatus = Verified</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 (1.4%)</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GR-0017 (OPC issuance) confirmed Dec 10, 2024.</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with VerificationStatus = In Progress / Pending</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13 (18.6%)</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Mostly DECISION-PENDING items in active owner workflows.</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with VerificationStatus = Not Started</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56 (80.0%)</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Expected at baseline — verification activities are SD/DD/CD-phase scoped.</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Open owner decisions</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Target: 0 by 50% SD gate (July 11, 2025) — currently 16 weeks/22 working days remaining.</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conflicts</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Target: 0 conflicts unresolved at 50% SD gate. Two resolve in chain (CF-002, CF-004 close with MRI vendor decision).</w:t>
            </w:r>
          </w:p>
        </w:tc>
      </w:tr>
      <w:tr>
        <w:trPr>
          <w:cantSplit w:val="false"/>
        </w:trP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Critical-impact open items</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21 (30.0%)</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At threshold ceiling. Sustained pressure to resolve through 50% SD.</w:t>
            </w:r>
          </w:p>
        </w:tc>
      </w:tr>
      <w:tr>
        <w:trPr>
          <w:cantSplit w:val="false"/>
        </w:trP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Phase gate posture</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ENTERING SD — APPROPRIATE</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is in expected state for SD initiation. DECISION-PENDING and CONFLICT-PENDING counts must compress to zero before DD NTP recommendation.</w:t>
            </w:r>
          </w:p>
        </w:tc>
      </w:tr>
    </w:tbl>
    <w:p>
      <w:pPr>
        <w:spacing w:after="60" w:before="220"/>
      </w:pPr>
      <w:r>
        <w:rPr>
          <w:rFonts w:ascii="Calibri" w:cs="Calibri" w:eastAsia="Calibri" w:hAnsi="Calibri"/>
          <w:b/>
          <w:bCs/>
          <w:color w:val="C9A227"/>
          <w:sz w:val="22"/>
          <w:szCs w:val="22"/>
        </w:rPr>
        <w:t xml:space="preserve">View 6.  </w:t>
      </w:r>
      <w:r>
        <w:rPr>
          <w:rFonts w:ascii="Calibri" w:cs="Calibri" w:eastAsia="Calibri" w:hAnsi="Calibri"/>
          <w:b/>
          <w:bCs/>
          <w:color w:val="1F3864"/>
          <w:sz w:val="22"/>
          <w:szCs w:val="22"/>
        </w:rPr>
        <w:t xml:space="preserve">Risk Driver Clusters</w:t>
      </w:r>
    </w:p>
    <w:p>
      <w:pPr>
        <w:spacing w:after="60" w:before="60" w:line="280"/>
        <w:jc w:val="both"/>
      </w:pPr>
      <w:r>
        <w:rPr>
          <w:rFonts w:ascii="Calibri" w:cs="Calibri" w:eastAsia="Calibri" w:hAnsi="Calibri"/>
          <w:i/>
          <w:iCs/>
          <w:color w:val="475569"/>
          <w:sz w:val="20"/>
          <w:szCs w:val="20"/>
        </w:rPr>
        <w:t xml:space="preserve">Five clusters carry three or more Critical/High records and are escalated to Section 4 Top Priority for owner attention.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900"/>
        <w:gridCol w:w="1500"/>
        <w:gridCol w:w="46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Risk Driver Cluster</w:t>
            </w:r>
          </w:p>
        </w:tc>
        <w:tc>
          <w:tcPr>
            <w:tcW w:type="dxa" w:w="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 / High</w:t>
            </w:r>
          </w:p>
        </w:tc>
        <w:tc>
          <w:tcPr>
            <w:tcW w:type="dxa" w:w="4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Escalation Note</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Approval / AHJ</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23</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 14</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ESCALATED — TJC, NFPA, FGI, ASHRAE, ADA. Section 4.</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Life Safety</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 / 7</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ESCALATED — Egress, EES, isolation, MRI zones. Section 4.</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Multi-Discipline Coordination</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19</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 11</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ESCALATED — MRI cluster, AHU scope, OFE inputs. Section 4.</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High-Cost Infrastructure</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 / 8</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ESCALATED — Generator, MRI, EES, acoustic overlay. Section 4.</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Long Lead</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 3</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ESCALATED — Generator, MRI, RF shielding. Section 4.</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Dependency (sub-cluster)</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 / 1</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gates 8 downstream records.</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 Required</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 / 6</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16 DECISION-PENDING items. See Section 4.A.</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Scope Gap (risk-driver flag)</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 / 4</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Mainly contract-scope boundary issues. See Section 4.B.</w:t>
            </w:r>
          </w:p>
        </w:tc>
      </w:tr>
    </w:tbl>
    <w:p>
      <w:pPr>
        <w:spacing w:after="60" w:before="220"/>
      </w:pPr>
      <w:r>
        <w:rPr>
          <w:rFonts w:ascii="Calibri" w:cs="Calibri" w:eastAsia="Calibri" w:hAnsi="Calibri"/>
          <w:b/>
          <w:bCs/>
          <w:color w:val="C9A227"/>
          <w:sz w:val="22"/>
          <w:szCs w:val="22"/>
        </w:rPr>
        <w:t xml:space="preserve">View 7.  </w:t>
      </w:r>
      <w:r>
        <w:rPr>
          <w:rFonts w:ascii="Calibri" w:cs="Calibri" w:eastAsia="Calibri" w:hAnsi="Calibri"/>
          <w:b/>
          <w:bCs/>
          <w:color w:val="1F3864"/>
          <w:sz w:val="22"/>
          <w:szCs w:val="22"/>
        </w:rPr>
        <w:t xml:space="preserve">Coordination Hotspots</w:t>
      </w:r>
    </w:p>
    <w:p>
      <w:pPr>
        <w:spacing w:after="60" w:before="60" w:line="280"/>
        <w:jc w:val="both"/>
      </w:pPr>
      <w:r>
        <w:rPr>
          <w:rFonts w:ascii="Calibri" w:cs="Calibri" w:eastAsia="Calibri" w:hAnsi="Calibri"/>
          <w:i/>
          <w:iCs/>
          <w:color w:val="475569"/>
          <w:sz w:val="20"/>
          <w:szCs w:val="20"/>
        </w:rPr>
        <w:t xml:space="preserve">MRI cluster is the dominant hotspot — five disciplines coordinating around a single equipment selection still pending. Clinical AHU scope boundary (CF-003) is the second hotspot, intersecting Mechanical and Cost.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100"/>
        <w:gridCol w:w="1500"/>
        <w:gridCol w:w="44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Discipline Pairing</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 Items</w:t>
            </w:r>
          </w:p>
        </w:tc>
        <w:tc>
          <w:tcPr>
            <w:tcW w:type="dxa" w:w="4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Hotspot Description</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Structural</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suite (GR-0033, GR-0039), PT gym (GR-0034), acoustic assembly (GR-0050), imaging classification (GR-0048).</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Mechanical</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AHU separation (GR-0036), maintenance access (GR-0069), HVAC zone (linked to ICRA), AHC corridor (GR-0035).</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Mechanical × Electrical × Cost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(GR-0022, GR-0029), Category 1 EES (GR-0056), ATS (GR-0067) — all linked to BCR-003.</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Electrical × Safety</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zones (GR-0049, GR-0063), workplace violence prevention (GR-0064).</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Acoustic</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HIPAA acoustic (GR-0008), exam room STC (GR-0016), telemedicine (GR-0007), STC 60 assembly (GR-0050).</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Plumbing × Architecture × ICRA</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Hand-washing sinks (GR-0051), medical gas (GR-0038), fluid disposal (GR-0053) — ICRA-dependent placement.</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IT × Electrical (Infrastructure)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PACS (GR-0068), UPS (GR-0014), security cameras (GR-0062), access control (GR-0060) — OFE/TI scope coordination.</w:t>
            </w:r>
          </w:p>
        </w:tc>
      </w:tr>
    </w:tbl>
    <w:p>
      <w:pPr>
        <w:spacing w:after="60" w:before="220"/>
      </w:pPr>
      <w:r>
        <w:rPr>
          <w:rFonts w:ascii="Calibri" w:cs="Calibri" w:eastAsia="Calibri" w:hAnsi="Calibri"/>
          <w:b/>
          <w:bCs/>
          <w:color w:val="C9A227"/>
          <w:sz w:val="22"/>
          <w:szCs w:val="22"/>
        </w:rPr>
        <w:t xml:space="preserve">View 8.  </w:t>
      </w:r>
      <w:r>
        <w:rPr>
          <w:rFonts w:ascii="Calibri" w:cs="Calibri" w:eastAsia="Calibri" w:hAnsi="Calibri"/>
          <w:b/>
          <w:bCs/>
          <w:color w:val="1F3864"/>
          <w:sz w:val="22"/>
          <w:szCs w:val="22"/>
        </w:rPr>
        <w:t xml:space="preserve">DECISION-PENDING Status — NEW v1.3</w:t>
      </w:r>
    </w:p>
    <w:p>
      <w:pPr>
        <w:spacing w:after="60" w:before="60" w:line="280"/>
        <w:jc w:val="both"/>
      </w:pPr>
      <w:r>
        <w:rPr>
          <w:rFonts w:ascii="Calibri" w:cs="Calibri" w:eastAsia="Calibri" w:hAnsi="Calibri"/>
          <w:i/>
          <w:iCs/>
          <w:color w:val="475569"/>
          <w:sz w:val="20"/>
          <w:szCs w:val="20"/>
        </w:rPr>
        <w:t xml:space="preserve">Primary phase-gate compliance indicator. Open count must reach zero before DD NTP. Two items overdue at baseline are escalated to Section 4 Top Priority regardless of CriticalityCategory.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100"/>
        <w:gridCol w:w="53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DecisionType</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Open Count</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Overdue</w:t>
            </w:r>
          </w:p>
        </w:tc>
        <w:tc>
          <w:tcPr>
            <w:tcW w:type="dxa" w:w="5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 Action Required</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TBD-UNRESOLVED</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5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Establish a value or document not yet present in any source. Owner must act to create it.</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CONDITIONAL</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9</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Blocked by an upstream decision; resolves in chain when upstream item closes.</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EMBEDDED-CHOICE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presents alternatives; owner must select one. Both Siemens vs. GE MRI items.</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SHOULD-LANGUAGE</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 preference-language items requiring upgrade in baseline.</w:t>
            </w:r>
          </w:p>
        </w:tc>
      </w:tr>
      <w:tr>
        <w:trPr>
          <w:cantSplit w:val="false"/>
        </w:trPr>
        <w:tc>
          <w:tcPr>
            <w:tcW w:type="dxa" w:w="2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OPEN</w:t>
            </w:r>
          </w:p>
        </w:tc>
        <w:tc>
          <w:tcPr>
            <w:tcW w:type="dxa" w:w="12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1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538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Target: 0 by 50% SD gate (July 11, 2025). See Section 4.A for the structured Owner Decision Register.</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Phase Gate Compliance Rule. </w:t>
            </w:r>
            <w:r>
              <w:rPr>
                <w:rFonts w:ascii="Calibri" w:cs="Calibri" w:eastAsia="Calibri" w:hAnsi="Calibri"/>
                <w:sz w:val="20"/>
                <w:szCs w:val="20"/>
              </w:rPr>
              <w:t xml:space="preserve">All sixteen DECISION-PENDING items must reach DecisionStatus = Resolved before Gallant will recommend DD NTP. Two items (GR-0020 Geotechnical, GR-0021 AHJ Pre-Application) are overdue at the baseline report date and appear in Section 4 Top Priority Items regardless of CriticalityCategory.</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4 — Top Priority Items</w:t>
      </w:r>
    </w:p>
    <w:p>
      <w:pPr>
        <w:spacing w:after="60" w:before="60" w:line="280"/>
        <w:jc w:val="both"/>
      </w:pPr>
      <w:r>
        <w:rPr>
          <w:rFonts w:ascii="Calibri" w:cs="Calibri" w:eastAsia="Calibri" w:hAnsi="Calibri"/>
          <w:sz w:val="20"/>
          <w:szCs w:val="20"/>
        </w:rPr>
        <w:t xml:space="preserve">Twenty-one ranked items. Each one needs executive attention because it meets at least one of the criteria Gallant uses to surface items: Critical change-impact rating with open verification, active conflict, owner decision required, scope gap, High change-impact rating with design-driver flag, or schedule sensitivity (long lead, AHJ dependency, multi-discipline coordination). Two items appear because they are past their decision deadline regardless of their original criticality rating.</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950"/>
        <w:gridCol w:w="1850"/>
        <w:gridCol w:w="1850"/>
        <w:gridCol w:w="1100"/>
        <w:gridCol w:w="850"/>
        <w:gridCol w:w="1880"/>
        <w:gridCol w:w="100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1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1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Issue</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Impact Domain</w:t>
            </w:r>
          </w:p>
        </w:tc>
        <w:tc>
          <w:tcPr>
            <w:tcW w:type="dxa" w:w="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w:t>
            </w:r>
          </w:p>
        </w:tc>
        <w:tc>
          <w:tcPr>
            <w:tcW w:type="dxa" w:w="1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Recommended Action</w:t>
            </w:r>
          </w:p>
        </w:tc>
        <w:tc>
          <w:tcPr>
            <w:tcW w:type="dxa" w:w="1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Source Doc</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GR-0042</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AHC accreditation framework — top-level driver</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52 sub-requirements trace to this; Day 1 accreditation is a lease commencement condition.</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 Safety</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Compliance assign accreditation readiness manager at SD entry. Mock TJC survey 60 days before Day 1 operations.</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GR-0024</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magnet must be set before wall enclosure</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Construction sequence is irreversible; if walls close before magnet delivery, demolition is required.</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Schedule · Cost · Coordination</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CMAR (Cornerstone) place MRI delivery window on master construction schedule with field-report and photographic documentation requirement.</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 Schedule</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confirmation — blocks 4 records</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Siemens vs. GE selection drives structural, floor plan, RF shielding, equipment-room sizing simultaneously.</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Schedule · Cost · Coordination</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issue written vendor confirmation by June 13, 2025. CONFLICT-PENDING (CF-002, CF-004) closes with this decision.</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 Schedule</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imaging service — vendor TBD</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Functional service requirement carries vendor uncertainty into structural and architectural design.</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Coordination · Schedule</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GR-0018. A/E flag in 50% SD area-compliance summary.</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GR-0039</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structural point load — two vendor values</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CF-004: Siemens 7,700 lb vs. GE 8,100 lb both shown in same source document.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Coordination · Cost</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SER proceed on Siemens basis per kickoff. Structural narrative flag DECISION-PENDING. Revise at DD if GE selected.</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 Schedule</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unresolved — EES design blocked</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CF-001 / CF-003: 200 kW base building vs. 350 kW combined NFPA 99 — neither doc assigns cost.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 Schedule · Regulatory</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(Owner's PM) + Northstar (Tenant Facilities Lead) execute written scope-allocation memo before 50% SD gate (July 11, 2025).</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GR-0011</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Isolation room negative pressure — life safety</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12 ACH minimum + continuous negative pressure monitoring; failure = patient/staff safety risk.</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MEP-EOR include in HVAC special systems narrative at 50% SD. Continuous pressure monitoring specified at DD.</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GR-0027</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$68M TPC ceiling — Board-authorized hard limit</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Current estimate $72M exceeds ceiling by $4M (5.9%); generator and acoustic add further pressure.</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Cost</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consultant attend 50% SD review with formal variance report. VE-01 contingent on geotech receipt.</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9</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GR-0045</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NFPA 99 compliance — medical gas, EES, IPS</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Non-compliance at commissioning is a TJC AHC survey finding that delays occupancy.</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 · Cost</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MEP-EOR prepare NFPA 99 compliance matrix at 90% CD. Commissioning plan include all Category 1 functional tests.</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GR-0049</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siting per ACR Technical Standard</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zone safety / access control — projectile risk; zone diagram mandatory in CDs.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AOR include ACR zone diagram in 50% CD. Zone III/IV access control verified at commissioning.</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11</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GR-0056</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Category 1 EES — conditional on BCR-003</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Clinical floors cannot operate without Cat. 1 EES; generator allocation directly blocks design.</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Cost · Regulatory</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BCR-003 resolution (GR-0029) is prerequisite. Commissioning plan include EES functional test per NFPA 99.</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12</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GR-0004</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AHC accreditation — Day 1 lease condition</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All RCR records trace here; non-compliance = no certificate of occupancy for clinical operations.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 Operational</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assign accreditation readiness manager. All 15 RCR records verified before TJC survey.</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not received — HVAC zone boundaries blocked</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Preventionist has not delivered; A/E cannot finalize HVAC zones, sink placement.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Schedule · Regulatory · Coordination</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Hard deadline June 27, 2025. 50% SD gate blocker. Owner's Rep escalate to Northstar Clinical leadership this week.</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14</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procurement — 20–28 wk lead</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If not ordered by October 31, 2025, 350 kW generator cannot arrive for construction energize.</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Schedule · Cost · Regulatory</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BCR-003 must resolve by July 2025 so CMAR can issue PO at 30% DD. Lead time non-negotiable.</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 Schedule</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GR-0044</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AHC occupancy not confirmed by AHJ</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8-foot corridors are AHC requirement; reversal is costly if AHJ confirms Group B late.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 Cost</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pre-application to NM DOH by May 23, 2025. Design proceeds on AHC basis. Flag if AHJ responds otherwise.</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GR-0046</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Egress — AHC life safety compliance</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Shared egress stairs between clinical and residential; pressurization design pending.</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DF-003: A/E confirm stair pressurization design at SD gate review. Coordinate with Heritage base building.</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17</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GR-0061</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AHC egress — stair pressurization confirmation</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DF-003 watch item; shared egress between clinical and residential occupancies.</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confirm stair pressurization configuration at SD gate review.</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 AHC occupancy — AHJ pre-app pending</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DF-NEW-001: NM DOH may be on FGI 2018, not 2022; affects 8 downstream records. OVERDUE — escalated by Gallant rule for past-deadline items.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 Schedule</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A/E (AOR Project Architect) submit NM DOH pre-application immediately. Design conditional on AHJ response.</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Milestone Sched</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19</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GR-0028</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$14.2M TI Allowance — binding NNN lease</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PT additions and generator upsize could impact TI Allowance before design is complete.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Issue written direction on PT equipment and generator allocation before 50% SD gate.</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GR-0035</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8-foot patient corridors — AHC conditional</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Designing to 8-foot AHC corridors costs floor-plan efficiency if Group B is later confirmed.</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Coordination · Cost</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GR-0021 AHJ pre-application response.</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21</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GR-0047</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NFPA 13 sprinkler — separate clinical riser</w:t>
            </w:r>
          </w:p>
        </w:tc>
        <w:tc>
          <w:tcPr>
            <w:tcW w:type="dxa" w:w="1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Single riser serving clinical and residential is a code violation.</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Safety · Regulatory</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confirm separate riser design in SD drawings. Sprinkler contractor engaged at DD.</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Summary</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report — OVERDUE</w:t>
            </w:r>
          </w:p>
        </w:tc>
        <w:tc>
          <w:tcPr>
            <w:tcW w:type="dxa" w:w="1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June 6, 2025. VE-01 ($180K–$340K savings) unavailable until report received. Escalated by Gallant rule for past-deadline items.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 Schedule · Coordination</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(Owner's PM) escalate to Geotechnical Consultant this week. VE-01 evaluation contingent on Site Class confirmation.</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Milestone Sched</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i/>
          <w:iCs/>
          <w:color w:val="475569"/>
          <w:sz w:val="20"/>
          <w:szCs w:val="20"/>
        </w:rPr>
        <w:t xml:space="preserve">Note. Items 1–21 meet Gallant's threshold for executive attention because they carry a Critical change-impact rating. GR-0020 and GR-0021 are included because they are past their decision deadlines — a separate Gallant rule that surfaces overdue items regardless of their original criticality rating.</w:t>
      </w:r>
    </w:p>
    <w:p>
      <w:r>
        <w:br w:type="page"/>
      </w:r>
    </w:p>
    <w:p>
      <w:pPr>
        <w:pStyle w:val="Heading2"/>
        <w:spacing w:after="100" w:before="240"/>
      </w:pPr>
      <w:r>
        <w:rPr>
          <w:rFonts w:ascii="Calibri" w:cs="Calibri" w:eastAsia="Calibri" w:hAnsi="Calibri"/>
          <w:b/>
          <w:bCs/>
          <w:color w:val="1F3864"/>
          <w:sz w:val="26"/>
          <w:szCs w:val="26"/>
        </w:rPr>
        <w:t xml:space="preserve">4.A  Owner Decision Register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Owner Decision Register. </w:t>
            </w:r>
            <w:r>
              <w:rPr>
                <w:rFonts w:ascii="Calibri" w:cs="Calibri" w:eastAsia="Calibri" w:hAnsi="Calibri"/>
                <w:sz w:val="20"/>
                <w:szCs w:val="20"/>
              </w:rPr>
              <w:t xml:space="preserve">The Owner Decision Register is the structured list of requirements currently waiting on an owner action to close. These are not Gallant deliverables — they are decisions the owner must make so the design team can finalize the design. Each entry is grouped by what kind of decision it is (a value the owner must establish, a choice between alternatives, or a downstream item waiting on something else to close), and each carries a named decision owner and a deadline. This register is the single most actionable page in the report — it is the place an owner's PM looks first to see what is on their plate this cycle.</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B91C1C"/>
                <w:sz w:val="20"/>
                <w:szCs w:val="20"/>
              </w:rPr>
              <w:t xml:space="preserve">Escalation Notice. </w:t>
            </w:r>
            <w:r>
              <w:rPr>
                <w:rFonts w:ascii="Calibri" w:cs="Calibri" w:eastAsia="Calibri" w:hAnsi="Calibri"/>
                <w:b/>
                <w:bCs/>
                <w:sz w:val="20"/>
                <w:szCs w:val="20"/>
              </w:rPr>
              <w:t xml:space="preserve">Two open DECISION-PENDING items are overdue at baseline. </w:t>
            </w:r>
            <w:r>
              <w:rPr>
                <w:rFonts w:ascii="Calibri" w:cs="Calibri" w:eastAsia="Calibri" w:hAnsi="Calibri"/>
                <w:sz w:val="20"/>
                <w:szCs w:val="20"/>
              </w:rPr>
              <w:t xml:space="preserve">GR-0020 (Geotechnical Report, due June 6, 2025) blocks foundation design and the BCR-004 VE-01 evaluation worth $180K–$340K. GR-0021 (AHJ Pre-Application, due May 23, 2025) gates eight downstream records covering FGI edition, AHC occupancy, corridor widths, and egress. Both require immediate owner escalation. Both also appear in Section 4 Top Priority Items.</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Sixteen open DECISION-PENDING items presented in four groups by decision type. Each group carries its own owner instruction. Total count of 16 matches View 8 in Section 3 and the underlying workbook record count (note: a workbook header reports 0 in error; see Appendix A — Deviation Report DEV-001).</w:t>
      </w:r>
    </w:p>
    <w:p>
      <w:pPr>
        <w:pStyle w:val="Heading3"/>
        <w:spacing w:after="60" w:before="160"/>
      </w:pPr>
      <w:r>
        <w:rPr>
          <w:rFonts w:ascii="Calibri" w:cs="Calibri" w:eastAsia="Calibri" w:hAnsi="Calibri"/>
          <w:b/>
          <w:bCs/>
          <w:color w:val="475569"/>
          <w:sz w:val="22"/>
          <w:szCs w:val="22"/>
        </w:rPr>
        <w:t xml:space="preserve">Group 1 — TBD-UNRESOLVED  (5 items)</w:t>
      </w:r>
    </w:p>
    <w:p>
      <w:pPr>
        <w:spacing w:after="60" w:before="60" w:line="280"/>
        <w:jc w:val="both"/>
      </w:pPr>
      <w:r>
        <w:rPr>
          <w:rFonts w:ascii="Calibri" w:cs="Calibri" w:eastAsia="Calibri" w:hAnsi="Calibri"/>
          <w:b/>
          <w:bCs/>
          <w:color w:val="C9A227"/>
          <w:sz w:val="20"/>
          <w:szCs w:val="20"/>
        </w:rPr>
        <w:t xml:space="preserve">Owner instruction. </w:t>
      </w:r>
      <w:r>
        <w:rPr>
          <w:rFonts w:ascii="Calibri" w:cs="Calibri" w:eastAsia="Calibri" w:hAnsi="Calibri"/>
          <w:sz w:val="20"/>
          <w:szCs w:val="20"/>
        </w:rPr>
        <w:t xml:space="preserve">The following items require you to establish a value or specification. The design team cannot proceed without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2700"/>
        <w:gridCol w:w="1500"/>
        <w:gridCol w:w="21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What Value Is Needed</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 Owner</w:t>
            </w:r>
          </w:p>
        </w:tc>
        <w:tc>
          <w:tcPr>
            <w:tcW w:type="dxa" w:w="21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Deadline</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 infection control risk assessment</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Completed ICRA document with HVAC zone, sink placement, neg-pressure extents</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Preventionist</w:t>
            </w:r>
          </w:p>
        </w:tc>
        <w:tc>
          <w:tcPr>
            <w:tcW w:type="dxa" w:w="2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27, 2025</w:t>
            </w:r>
          </w:p>
        </w:tc>
      </w:tr>
      <w:tr>
        <w:trPr>
          <w:cantSplit w:val="false"/>
        </w:trPr>
        <w:tc>
          <w:tcPr>
            <w:tcW w:type="dxa" w:w="4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jc w:val="center"/>
            </w:pPr>
            <w:r>
              <w:rPr>
                <w:rFonts w:ascii="Calibri" w:cs="Calibri" w:eastAsia="Calibri" w:hAnsi="Calibri"/>
                <w:color w:val="B91C1C"/>
                <w:sz w:val="28"/>
                <w:szCs w:val="28"/>
              </w:rPr>
              <w:t xml:space="preserve">●</w:t>
            </w:r>
          </w:p>
        </w:tc>
        <w:tc>
          <w:tcPr>
            <w:tcW w:type="dxa" w:w="95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w:t>
            </w:r>
          </w:p>
        </w:tc>
        <w:tc>
          <w:tcPr>
            <w:tcW w:type="dxa" w:w="24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investigation report</w:t>
            </w:r>
          </w:p>
        </w:tc>
        <w:tc>
          <w:tcPr>
            <w:tcW w:type="dxa" w:w="27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Soil report with confirmed Site Class C+ or D for foundation design</w:t>
            </w:r>
          </w:p>
        </w:tc>
        <w:tc>
          <w:tcPr>
            <w:tcW w:type="dxa" w:w="15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w:t>
            </w:r>
          </w:p>
        </w:tc>
        <w:tc>
          <w:tcPr>
            <w:tcW w:type="dxa" w:w="213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June 6, 2025</w:t>
            </w:r>
          </w:p>
        </w:tc>
      </w:tr>
      <w:tr>
        <w:trPr>
          <w:cantSplit w:val="false"/>
        </w:trPr>
        <w:tc>
          <w:tcPr>
            <w:tcW w:type="dxa" w:w="4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jc w:val="center"/>
            </w:pPr>
            <w:r>
              <w:rPr>
                <w:rFonts w:ascii="Calibri" w:cs="Calibri" w:eastAsia="Calibri" w:hAnsi="Calibri"/>
                <w:color w:val="B91C1C"/>
                <w:sz w:val="28"/>
                <w:szCs w:val="28"/>
              </w:rPr>
              <w:t xml:space="preserve">●</w:t>
            </w:r>
          </w:p>
        </w:tc>
        <w:tc>
          <w:tcPr>
            <w:tcW w:type="dxa" w:w="95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w:t>
            </w:r>
          </w:p>
        </w:tc>
        <w:tc>
          <w:tcPr>
            <w:tcW w:type="dxa" w:w="24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to NM DOH</w:t>
            </w:r>
          </w:p>
        </w:tc>
        <w:tc>
          <w:tcPr>
            <w:tcW w:type="dxa" w:w="27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Written AHJ confirmation: applicable FGI edition + AHC occupancy + NM amendments</w:t>
            </w:r>
          </w:p>
        </w:tc>
        <w:tc>
          <w:tcPr>
            <w:tcW w:type="dxa" w:w="150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 of Record (AOR)</w:t>
            </w:r>
          </w:p>
        </w:tc>
        <w:tc>
          <w:tcPr>
            <w:tcW w:type="dxa" w:w="2130"/>
            <w:tcBorders>
              <w:top w:val="single" w:color="BFC7D1" w:sz="4"/>
              <w:left w:val="single" w:color="BFC7D1" w:sz="4"/>
              <w:bottom w:val="single" w:color="BFC7D1" w:sz="4"/>
              <w:right w:val="single" w:color="BFC7D1" w:sz="4"/>
            </w:tcBorders>
            <w:shd w:fill="FEE2E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May 23, 2025</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allocation (200kW vs. 350kW)</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Written scope-allocation memo or NNN lease side letter assigning $180K–$260K cost delta</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Northstar Facilities</w:t>
            </w:r>
          </w:p>
        </w:tc>
        <w:tc>
          <w:tcPr>
            <w:tcW w:type="dxa" w:w="2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11, 2025 (50% SD)</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GR-0038</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Medical gas additional locations (OAI-004)</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Director confirmation of additional med-gas outlet locations beyond minimum</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Director</w:t>
            </w:r>
          </w:p>
        </w:tc>
        <w:tc>
          <w:tcPr>
            <w:tcW w:type="dxa" w:w="2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Prior to 50% SD</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2 — CONDITIONAL  (9 items)</w:t>
      </w:r>
    </w:p>
    <w:p>
      <w:pPr>
        <w:spacing w:after="60" w:before="60" w:line="280"/>
        <w:jc w:val="both"/>
      </w:pPr>
      <w:r>
        <w:rPr>
          <w:rFonts w:ascii="Calibri" w:cs="Calibri" w:eastAsia="Calibri" w:hAnsi="Calibri"/>
          <w:b/>
          <w:bCs/>
          <w:color w:val="C9A227"/>
          <w:sz w:val="20"/>
          <w:szCs w:val="20"/>
        </w:rPr>
        <w:t xml:space="preserve">Owner instruction. </w:t>
      </w:r>
      <w:r>
        <w:rPr>
          <w:rFonts w:ascii="Calibri" w:cs="Calibri" w:eastAsia="Calibri" w:hAnsi="Calibri"/>
          <w:sz w:val="20"/>
          <w:szCs w:val="20"/>
        </w:rPr>
        <w:t xml:space="preserve">The following items are blocked by an upstream decision. Resolving the upstream item first will unblock these.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2700"/>
        <w:gridCol w:w="1700"/>
        <w:gridCol w:w="19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Upstream Dependency</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Resolves When</w:t>
            </w:r>
          </w:p>
        </w:tc>
        <w:tc>
          <w:tcPr>
            <w:tcW w:type="dxa" w:w="19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Auto-Close?</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procurement initiation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 (BCR-003 generator scope allocation)</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BCR-003 resolved + PO authorized</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 — requires PO action</w:t>
            </w:r>
          </w:p>
        </w:tc>
      </w:tr>
      <w:tr>
        <w:trPr>
          <w:cantSplit w:val="false"/>
        </w:trP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GR-0023</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RF shielding contractor engagement</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 (MRI vendor confirmation)</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fixed + spec to shielding sub</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 — requires contract action</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GR-0033</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room dimensions (200/240 NSF)</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 (MRI vendor — Siemens vs. GE)</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confirmation</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area locks per vendor</w:t>
            </w:r>
          </w:p>
        </w:tc>
      </w:tr>
      <w:tr>
        <w:trPr>
          <w:cantSplit w:val="false"/>
        </w:trP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8-ft AHC corridor widths</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 / GR-0044 (AHJ AHC confirmation)</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written response</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locks at AHJ confirmation</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GR-0039</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structural point load (7,700 / 8,100 lb)</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 (MRI vendor)</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confirmation</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design basis locks per vendor</w:t>
            </w:r>
          </w:p>
        </w:tc>
      </w:tr>
      <w:tr>
        <w:trPr>
          <w:cantSplit w:val="false"/>
        </w:trP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GR-0043</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(2022 / 2018)</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 (AHJ pre-application response)</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written confirmation</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design basis locks</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GR-0044</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AHC occupancy classification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 (AHJ pre-application response)</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written confirmation</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classification locks</w:t>
            </w:r>
          </w:p>
        </w:tc>
      </w:tr>
      <w:tr>
        <w:trPr>
          <w:cantSplit w:val="false"/>
        </w:trP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GR-0051</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Hand-washing sink placement</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(ICRA delivery)</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received + reviewed</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sink placement locks per ICRA</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GR-0056</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Category 1 EES — clinical ATS sizing</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 (BCR-003 generator scope)</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capacity confirmed (350 kW)</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EES locks per generator size</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3 — EMBEDDED-CHOICE  (2 items)</w:t>
      </w:r>
    </w:p>
    <w:p>
      <w:pPr>
        <w:spacing w:after="60" w:before="60" w:line="280"/>
        <w:jc w:val="both"/>
      </w:pPr>
      <w:r>
        <w:rPr>
          <w:rFonts w:ascii="Calibri" w:cs="Calibri" w:eastAsia="Calibri" w:hAnsi="Calibri"/>
          <w:b/>
          <w:bCs/>
          <w:color w:val="C9A227"/>
          <w:sz w:val="20"/>
          <w:szCs w:val="20"/>
        </w:rPr>
        <w:t xml:space="preserve">Owner instruction. </w:t>
      </w:r>
      <w:r>
        <w:rPr>
          <w:rFonts w:ascii="Calibri" w:cs="Calibri" w:eastAsia="Calibri" w:hAnsi="Calibri"/>
          <w:sz w:val="20"/>
          <w:szCs w:val="20"/>
        </w:rPr>
        <w:t xml:space="preserve">The following items require you to select one option. Both options are acceptable — but you must choose one before SD proceeds.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2700"/>
        <w:gridCol w:w="1500"/>
        <w:gridCol w:w="21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 Required</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Option A — Siemens MAGNETOM Altea</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Option B — GE SIGNA Creator</w:t>
            </w:r>
          </w:p>
        </w:tc>
        <w:tc>
          <w:tcPr>
            <w:tcW w:type="dxa" w:w="21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 Owner / Deadline</w:t>
            </w:r>
          </w:p>
        </w:tc>
      </w:tr>
      <w:tr>
        <w:trPr>
          <w:cantSplit w:val="false"/>
        </w:trP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imaging modality vendor</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1.5T closed bore · 200 NSF equip room · 7,700 lb magnet</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1.5T closed bore · 240 NSF equip room · 8,100 lb magnet</w:t>
            </w:r>
          </w:p>
        </w:tc>
        <w:tc>
          <w:tcPr>
            <w:tcW w:type="dxa" w:w="2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June 13, 2025</w:t>
            </w:r>
          </w:p>
        </w:tc>
      </w:tr>
      <w:tr>
        <w:trPr>
          <w:cantSplit w:val="false"/>
        </w:trP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D97706"/>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model and vendor confirmation</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Design basis adopted by SER per kickoff</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Requires structural revision and 40 NSF imaging suite reallocation</w:t>
            </w:r>
          </w:p>
        </w:tc>
        <w:tc>
          <w:tcPr>
            <w:tcW w:type="dxa" w:w="21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June 13, 2025</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4 — SHOULD-LANGUAGE  (0 items)</w:t>
      </w:r>
    </w:p>
    <w:p>
      <w:pPr>
        <w:spacing w:after="60" w:before="60" w:line="280"/>
        <w:jc w:val="both"/>
      </w:pPr>
      <w:r>
        <w:rPr>
          <w:rFonts w:ascii="Calibri" w:cs="Calibri" w:eastAsia="Calibri" w:hAnsi="Calibri"/>
          <w:sz w:val="20"/>
          <w:szCs w:val="20"/>
        </w:rPr>
        <w:t xml:space="preserve">No preference-language items in baseline register. All extracted requirements use mandatory language (shall / will / must) or clearly-flagged conditional language. This count is reported as a positive baseline finding.</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Phase Gate Compliance — 4.A Closeout Rule. </w:t>
            </w:r>
            <w:r>
              <w:rPr>
                <w:rFonts w:ascii="Calibri" w:cs="Calibri" w:eastAsia="Calibri" w:hAnsi="Calibri"/>
                <w:sz w:val="20"/>
                <w:szCs w:val="20"/>
              </w:rPr>
              <w:t xml:space="preserve">Total open count across all four DecisionTypes (16) must reach zero before Gallant will recommend DD NTP. The two overdue items in Group 1 require escalation this week. The nine CONDITIONAL items will close in chain when their three upstream parents (GR-0018 MRI vendor, GR-0021 AHJ response, GR-0019 ICRA, GR-0029 generator scope) resolve — meaning four upstream resolutions close eleven downstream records.</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4.B  Scope Gaps</w:t>
      </w:r>
    </w:p>
    <w:p>
      <w:pPr>
        <w:spacing w:after="60" w:before="60" w:line="280"/>
        <w:jc w:val="both"/>
      </w:pPr>
      <w:r>
        <w:rPr>
          <w:rFonts w:ascii="Calibri" w:cs="Calibri" w:eastAsia="Calibri" w:hAnsi="Calibri"/>
          <w:sz w:val="20"/>
          <w:szCs w:val="20"/>
        </w:rPr>
        <w:t xml:space="preserve">No GAP-status records exist in the baseline register. Seven records carry the SCOPE_GAP risk-driver flag, indicating an explicit boundary uncertainty between contracts (base building / TI / OFE / A/E scope). These are not gaps in requirement coverage — they are gaps in the contract assignment of who does the work. Each is addressed below with a specific design-system impact.</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50"/>
        <w:gridCol w:w="3000"/>
        <w:gridCol w:w="3000"/>
        <w:gridCol w:w="3130"/>
      </w:tblGrid>
      <w:tr>
        <w:trPr>
          <w:tblHeader/>
        </w:trPr>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Scope Boundary Issue</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Design Systems Affected</w:t>
            </w:r>
          </w:p>
        </w:tc>
        <w:tc>
          <w:tcPr>
            <w:tcW w:type="dxa" w:w="31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Recommended Remediation</w:t>
            </w:r>
          </w:p>
        </w:tc>
      </w:tr>
      <w:tr>
        <w:trPr>
          <w:cantSplit w:val="false"/>
        </w:trPr>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report owed by Heritage under separate contract — overdue</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Foundation system, structural narrative, VE-01 evaluation</w:t>
            </w:r>
          </w:p>
        </w:tc>
        <w:tc>
          <w:tcPr>
            <w:tcW w:type="dxa" w:w="3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escalate Geotechnical Consultant this week</w:t>
            </w:r>
          </w:p>
        </w:tc>
      </w:tr>
      <w:tr>
        <w:trPr>
          <w:cantSplit w:val="false"/>
        </w:trPr>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50% SD deliverable scope (BOD narrative completeness) not yet defined</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Sets the source document for RIR Cycle 1</w:t>
            </w:r>
          </w:p>
        </w:tc>
        <w:tc>
          <w:tcPr>
            <w:tcW w:type="dxa" w:w="31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confirm BOD scope at A/E NTP / kickoff</w:t>
            </w:r>
          </w:p>
        </w:tc>
      </w:tr>
      <w:tr>
        <w:trPr>
          <w:cantSplit w:val="false"/>
        </w:trPr>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upsize (200→350 kW) cost allocation silent in NNN Lease</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EES design, ATS sizing, generator procurement</w:t>
            </w:r>
          </w:p>
        </w:tc>
        <w:tc>
          <w:tcPr>
            <w:tcW w:type="dxa" w:w="3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Side letter or scope-allocation memo before 50% SD gate</w:t>
            </w:r>
          </w:p>
        </w:tc>
      </w:tr>
      <w:tr>
        <w:trPr>
          <w:cantSplit w:val="false"/>
        </w:trPr>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GR-0030</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DD cost reconciliation methodology not specified</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Trigger for VE options log</w:t>
            </w:r>
          </w:p>
        </w:tc>
        <w:tc>
          <w:tcPr>
            <w:tcW w:type="dxa" w:w="31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confirm methodology at 30% DD start</w:t>
            </w:r>
          </w:p>
        </w:tc>
      </w:tr>
      <w:tr>
        <w:trPr>
          <w:cantSplit w:val="false"/>
        </w:trPr>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GR-0031</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Clinical TI total GSF target (24,000) not contractually bound to A/E</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Floor plate efficiency, NSF allocations</w:t>
            </w:r>
          </w:p>
        </w:tc>
        <w:tc>
          <w:tcPr>
            <w:tcW w:type="dxa" w:w="3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acknowledge GSF target in design responsibilities matrix</w:t>
            </w:r>
          </w:p>
        </w:tc>
      </w:tr>
      <w:tr>
        <w:trPr>
          <w:cantSplit w:val="false"/>
        </w:trPr>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Clinical AHU procurement boundary (CF-003) — Exhibit D silent</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HVAC system, MEP narrative, AHU long-lead procurement</w:t>
            </w:r>
          </w:p>
        </w:tc>
        <w:tc>
          <w:tcPr>
            <w:tcW w:type="dxa" w:w="31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 Northstar joint memo before 50% SD gate</w:t>
            </w:r>
          </w:p>
        </w:tc>
      </w:tr>
      <w:tr>
        <w:trPr>
          <w:cantSplit w:val="false"/>
        </w:trPr>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GR-0050</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STC 60 acoustic overlay scope (CF-006) — base building vs. residential TI silent</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Level 2/3 acoustic assembly, structural slab interface</w:t>
            </w:r>
          </w:p>
        </w:tc>
        <w:tc>
          <w:tcPr>
            <w:tcW w:type="dxa" w:w="3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identify cost allocation before 60% DD; BCR-004 review</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5 — Cost and Schedule Exposure Summary</w:t>
      </w:r>
    </w:p>
    <w:p>
      <w:pPr>
        <w:spacing w:after="60" w:before="60" w:line="280"/>
        <w:jc w:val="both"/>
      </w:pPr>
      <w:r>
        <w:rPr>
          <w:rFonts w:ascii="Calibri" w:cs="Calibri" w:eastAsia="Calibri" w:hAnsi="Calibri"/>
          <w:sz w:val="20"/>
          <w:szCs w:val="20"/>
        </w:rPr>
        <w:t xml:space="preserve">Baseline output presents identified exposure categories with supporting requirement evidence. Where the client requires dollar or day quantification, Gallant's cost and schedule consulting partners can be engaged as scoped extended service to translate identified exposures into quantified estimates, design-to-cost tracking, and earned value management. Earned value management does not stop at design — Gallant can provide that support through the full project lifecycle, including construction and commissioning.</w:t>
      </w:r>
    </w:p>
    <w:p>
      <w:pPr>
        <w:pStyle w:val="Heading2"/>
        <w:spacing w:after="100" w:before="240"/>
      </w:pPr>
      <w:r>
        <w:rPr>
          <w:rFonts w:ascii="Calibri" w:cs="Calibri" w:eastAsia="Calibri" w:hAnsi="Calibri"/>
          <w:b/>
          <w:bCs/>
          <w:color w:val="1F3864"/>
          <w:sz w:val="26"/>
          <w:szCs w:val="26"/>
        </w:rPr>
        <w:t xml:space="preserve">5.A  Cost Exposure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5480"/>
        <w:gridCol w:w="220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Exposure Category</w:t>
            </w:r>
          </w:p>
        </w:tc>
        <w:tc>
          <w:tcPr>
            <w:tcW w:type="dxa" w:w="5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Identified Items</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Supporting Records</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Uncovered scope</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Six requirements with VerificationStatus = Open and HIGH_COST_INFRASTRUCTURE or MULTI_DISCIPLINE_COORDINATION risk drivers — primarily the MRI cluster and the generator/EES chain.</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 GR-0018, GR-0022, GR-0029, GR-0039, GR-0056</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Allowance-driven uncertainty</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Three requirements reference allowance-based line items without finalized performance specification — primarily PT additions (LASER, traction table — OAI-005) and OFE input drawings.</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GR-0003, GR-0028, GR-0041</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Scope-price misalignment</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Two requirements where scope obligation is defined but no corresponding cost item identified — STC 60 acoustic overlay (estimated $80K–$150K) and AHU procurement scope.</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GR-0036 (CF-003), GR-0050 (CF-006)</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Design-to-budget risk</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Project Cost (TPC) currently estimated at $72M against a $68M Board-authorized ceiling — a 5.9% variance that already exceeds the BCR-004 5% Value Engineering trigger. Three named offsets pending: VE-01 foundation ($180K–$340K), generator allocation ($180K–$260K), acoustic overlay ($80K–$150K).</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GR-0027, GR-0028, GR-0030</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 cost exposure</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Six DECISION-PENDING records carry HIGH_COST_INFRASTRUCTURE or SCOPE_GAP. Cost cannot be confirmed until owner decisions close: generator scope $180K–$260K; STC 60 overlay $80K–$150K; MRI room reconfiguration if GE selected (40 NSF reallocation); RF shielding spec (vendor-dependent).</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 GR-0050, GR-0033, GR-0023, GR-0038, GR-0056</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Total Project Cost — Variance Headline. </w:t>
            </w:r>
            <w:r>
              <w:rPr>
                <w:rFonts w:ascii="Calibri" w:cs="Calibri" w:eastAsia="Calibri" w:hAnsi="Calibri"/>
                <w:sz w:val="20"/>
                <w:szCs w:val="20"/>
              </w:rPr>
              <w:t xml:space="preserve">Current estimate $72M vs. $68M Board-authorized ceiling — variance $4M (5.9%). The Value Engineering trigger has been exceeded. Three named offsets, all gated on owner decisions, sum to a potential $440K–$750K of recoverable variance — enough to retire roughly 11–19% of the $4M gap if all three close favorably. Recommend formal variance report at 50% SD with VE options log attached.</w:t>
            </w:r>
          </w:p>
        </w:tc>
      </w:tr>
    </w:tbl>
    <w:p>
      <w:pPr>
        <w:pStyle w:val="Heading2"/>
        <w:spacing w:after="100" w:before="240"/>
      </w:pPr>
      <w:r>
        <w:rPr>
          <w:rFonts w:ascii="Calibri" w:cs="Calibri" w:eastAsia="Calibri" w:hAnsi="Calibri"/>
          <w:b/>
          <w:bCs/>
          <w:color w:val="1F3864"/>
          <w:sz w:val="26"/>
          <w:szCs w:val="26"/>
        </w:rPr>
        <w:t xml:space="preserve">5.B  Schedule Exposure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5480"/>
        <w:gridCol w:w="220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Exposure Category</w:t>
            </w:r>
          </w:p>
        </w:tc>
        <w:tc>
          <w:tcPr>
            <w:tcW w:type="dxa" w:w="5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Identified Items</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Supporting Records</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Input-dependent requirements</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Sixteen DECISION-PENDING records each block a specific design milestone — concentrated on three upstream sources: AHJ response (8 downstream), MRI vendor (4 downstream), Generator scope (3 downstream), ICRA delivery (1 downstream).</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Section 4.A items</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Long-lead items</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Eight LONG_LEAD records. Procurement gates: 350 kW generator (20–28 wk lead, deadline October 31, 2025), MRI vendor confirmation (June 13, 2025), RF shielding contractor (October 31, 2025, after MRI), MRI structural design (30% DD).</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 GR-0018, GR-0022, GR-0023, GR-0024, GR-0039, GR-0048, GR-0012</w:t>
            </w:r>
          </w:p>
        </w:tc>
      </w:tr>
      <w:tr>
        <w:trPr>
          <w:cantSplit w:val="false"/>
        </w:trP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Sequencing risks</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pre-enclosure construction sequence (GR-0024) is irreversible. Electrical energize date (GR-0025, March 2027) requires 90-day buffer before commissioning. Two construction-sequence items with no current schedule activity tie-out.</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GR-0024, GR-0025</w:t>
            </w:r>
          </w:p>
        </w:tc>
      </w:tr>
      <w:tr>
        <w:trPr>
          <w:cantSplit w:val="false"/>
        </w:trP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Unrepresented scope</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Seven SCOPE_GAP-flagged records lack corresponding schedule activity — most are contract-boundary issues (AHU, acoustic overlay, generator scope) that will materialize as schedule items only after owner decisions resolve.</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 GR-0026, GR-0029, GR-0030, GR-0031, GR-0036, GR-0050</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Schedule Headline. </w:t>
            </w:r>
            <w:r>
              <w:rPr>
                <w:rFonts w:ascii="Calibri" w:cs="Calibri" w:eastAsia="Calibri" w:hAnsi="Calibri"/>
                <w:sz w:val="20"/>
                <w:szCs w:val="20"/>
              </w:rPr>
              <w:t xml:space="preserve">Two overdue decisions (Geotechnical, AHJ) at baseline. The 50% SD gate (July 11, 2025) is the binary date — sixteen DECISION-PENDING items must close by that gate to keep DD on schedule. Generator procurement (October 31, 2025) is the critical-path long-lead. MRI pre-enclosure sequence is an irreversible critical-path event for the construction phase. Recommend a weekly decision-burndown review through 50% SD and a long-lead procurement review at 30% DD.</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b/>
          <w:bCs/>
          <w:i/>
          <w:iCs/>
          <w:color w:val="475569"/>
          <w:sz w:val="20"/>
          <w:szCs w:val="20"/>
        </w:rPr>
        <w:t xml:space="preserve">Extended service available. </w:t>
      </w:r>
      <w:r>
        <w:rPr>
          <w:rFonts w:ascii="Calibri" w:cs="Calibri" w:eastAsia="Calibri" w:hAnsi="Calibri"/>
          <w:i/>
          <w:iCs/>
          <w:color w:val="475569"/>
          <w:sz w:val="20"/>
          <w:szCs w:val="20"/>
        </w:rPr>
        <w:t xml:space="preserve">Gallant's cost and schedule consulting partners can quantify each exposure category above as scoped add-on service: dollar-value estimates of identified exposures, requirements-driven earned value management through the full project lifecycle (design, construction, and commissioning), and schedule risk quantification tied to the requirements register.</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6 — Conflict Register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Conflict Register. </w:t>
            </w:r>
            <w:r>
              <w:rPr>
                <w:rFonts w:ascii="Calibri" w:cs="Calibri" w:eastAsia="Calibri" w:hAnsi="Calibri"/>
                <w:sz w:val="20"/>
                <w:szCs w:val="20"/>
              </w:rPr>
              <w:t xml:space="preserve">The Conflict Register is the catalog of any place where two requirements in the project record contradict each other or compete for the same resource. Conflicts are a normal output of design — they surface when a regulatory mandate runs into a program criterion, when one document specifies one value and another document specifies a different value for the same item, or when a contract is silent on who is responsible for a piece of scope. Catching them in the requirements register before they become design rework is the value of the Conflict Register. Each conflict here carries a unique identifier (CF-XXX), the two requirements in conflict, a recommended resolution path, and a decision owner.</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Six active conflicts. A conflict is any place where two requirements in the register contradict each other or compete for the same resource. The six active conflicts fall into three categories: three are numeric or dimensional contradictions (the same item carries two different values in two different documents), two are scope-boundary uncertainties (something needs to be built but the contract documents do not say who is responsible), and one is a regulatory framework question (the project must comply with one regulation but two editions of that regulation are in play). Every conflict is flagged here. The resolution path for each is the responsibility of a named decision owner — Gallant identifies and routes; Gallant does not autonomously resolve conflicts.</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6780"/>
      </w:tblGrid>
      <w:tr>
        <w:trPr>
          <w:tblHeader/>
        </w:trPr>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Conflict Type</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67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 Affected</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ParameterConflict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CF-001 (Generator capacity), CF-002 (MRI equip room area), CF-004 (MRI structural point load)</w:t>
            </w:r>
          </w:p>
        </w:tc>
      </w:tr>
      <w:tr>
        <w:trPr>
          <w:cantSplit w:val="false"/>
        </w:trP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ScopeConflict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67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(Clinical AHU procurement), CF-006 (STC 60 acoustic assembly)</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AuthorityConflict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CF-005 (FGI edition — TJC vs. AHJ adoption)</w:t>
            </w:r>
          </w:p>
        </w:tc>
      </w:tr>
      <w:tr>
        <w:trPr>
          <w:cantSplit w:val="false"/>
        </w:trP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MethodConflict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67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detected at baseline.</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SequenceConflict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detected at baseline.</w:t>
            </w:r>
          </w:p>
        </w:tc>
      </w:tr>
      <w:tr>
        <w:trPr>
          <w:cantSplit w:val="false"/>
        </w:trPr>
        <w:tc>
          <w:tcPr>
            <w:tcW w:type="dxa" w:w="22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w:t>
            </w:r>
          </w:p>
        </w:tc>
        <w:tc>
          <w:tcPr>
            <w:tcW w:type="dxa" w:w="11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678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All OPEN. Resolution paths owner-routed.</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Active Conflicts — Detail</w:t>
      </w:r>
    </w:p>
    <w:p>
      <w:pPr>
        <w:spacing w:after="60" w:before="60" w:line="280"/>
        <w:jc w:val="both"/>
      </w:pPr>
      <w:r>
        <w:rPr>
          <w:rFonts w:ascii="Calibri" w:cs="Calibri" w:eastAsia="Calibri" w:hAnsi="Calibri"/>
          <w:sz w:val="20"/>
          <w:szCs w:val="20"/>
        </w:rPr>
        <w:t xml:space="preserve">Each active conflict below presents the specific contradiction in plain language, both source values verbatim or normalized, and a specific resolution path naming the deciding party and time-aware deadline.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CF-001</w:t>
            </w:r>
          </w:p>
          <w:p>
            <w:pPr>
              <w:spacing w:after="0" w:before="0"/>
            </w:pPr>
            <w:r>
              <w:rPr>
                <w:rFonts w:ascii="Calibri" w:cs="Calibri" w:eastAsia="Calibri" w:hAnsi="Calibri"/>
                <w:i/>
                <w:iCs/>
                <w:color w:val="FFFFFF"/>
                <w:sz w:val="18"/>
                <w:szCs w:val="18"/>
              </w:rPr>
              <w:t xml:space="preserve">ParameterConflict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GR-0027  ↔  GR-0029</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Three different generator capacity figures appear across two source documents and no document acknowledges that the combined NFPA 99 Category 1 minimum is the controlling value. The OPC sizes the clinical EES at 150 kW; the Programming Doc sizes the base building life-safety generator at 200 kW; NFPA 99 Category 1 requires 350 kW combined minimum. Neither source assigns the cost delta of upsizing to the controlling value.</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OPC §4.2 — '150 kW minimum for clinical TI loads — confirm with electrical engineer during SD'</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Programming Doc §C — 'Base building generator 200kW life safety loads' (separate from clinical EES)</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Owner's PM and Tenant Facilities Lead align in writing on the 350 kW combined minimum. Assign cost responsibility for the 200 kW→350 kW upsize ($180K–$260K estimated) by written project memo or NNN Lease side letter before the 50% SD gate (July 11, 2025). CMAR to include generator on construction schedule with 20–28 week lead time.</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Heritage Owner Program Criteria Rev. 2 (D2)  ·  Heritage Health Campus Programming Document v1.0 (D3)</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CF-002</w:t>
            </w:r>
          </w:p>
          <w:p>
            <w:pPr>
              <w:spacing w:after="0" w:before="0"/>
            </w:pPr>
            <w:r>
              <w:rPr>
                <w:rFonts w:ascii="Calibri" w:cs="Calibri" w:eastAsia="Calibri" w:hAnsi="Calibri"/>
                <w:i/>
                <w:iCs/>
                <w:color w:val="FFFFFF"/>
                <w:sz w:val="18"/>
                <w:szCs w:val="18"/>
              </w:rPr>
              <w:t xml:space="preserve">ParameterConflict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GR-0033  ↔  GR-0002</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MRI equipment-room area is stated two ways in the same document set: the Owner Program Criteria allocates 200 NSF; the Equipment Schedule notes that one of the two MRI vendors under active evaluation requires 240 NSF. The design team cannot draw two different floor plans, and the imaging suite floor plate is finite — 40 NSF is meaningful at this scale.</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OPC §B Imaging Suite — MRI Equipment Room 200 NSF</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Equipment Schedule EQ-021 Note — 'GE SIGNA requires ~240 NSF equipment room vs. 200 NSF current program'</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Resolves with owner action item OAI-001 (the MRI vendor selection — see GR-0018 Top Priority #3). Design team continues on Siemens 200 NSF basis per kickoff agreement. If GE is selected, A/E flags 40 NSF reallocation in 50% SD area-compliance summary and identifies which adjacent space contributes the area.</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Heritage Owner Program Criteria Rev. 2 (D2)  ·  Northstar Clinic Equipment Schedule v1.0 (D5)</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CF-003</w:t>
            </w:r>
          </w:p>
          <w:p>
            <w:pPr>
              <w:spacing w:after="0" w:before="0"/>
            </w:pPr>
            <w:r>
              <w:rPr>
                <w:rFonts w:ascii="Calibri" w:cs="Calibri" w:eastAsia="Calibri" w:hAnsi="Calibri"/>
                <w:i/>
                <w:iCs/>
                <w:color w:val="FFFFFF"/>
                <w:sz w:val="18"/>
                <w:szCs w:val="18"/>
              </w:rPr>
              <w:t xml:space="preserve">ScopeConflict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GR-0036  ↔  GR-0028</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The Owner Program Criteria mandates dedicated clinical AHUs separate from base-building residential and retail HVAC systems. The NNN Lease Exhibit D Landlord Work / Tenant Work matrix is silent on AHU procurement — the AHUs appear in neither Landlord Work nor Tenant Work columns. The CMAR cannot begin AHU procurement without an explicit scope assignment, and AHU lead times are 12 to 18 weeks.</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OPC §4.1 — 'Northstar requires dedicated HVAC systems serving the clinical component, separate from the base building residential and retail systems'</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Programming Doc §C / NNN Lease Exhibit D — silent on clinical AHU procurement (not listed as Landlord Work or Tenant Work)</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Owner's PM and Northstar Facilities resolve AHU scope boundary in writing (project memo or lease side letter) before the 50% SD gate. CMAR cannot begin AHU procurement (12–18 week lead) without scope assignment. A/E identifies AHU locations and serving zones in the 50% SD HVAC narrative.</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Heritage Owner Program Criteria Rev. 2 (D2)  ·  Heritage Health Campus Programming Document v1.0 (D3)</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CF-004</w:t>
            </w:r>
          </w:p>
          <w:p>
            <w:pPr>
              <w:spacing w:after="0" w:before="0"/>
            </w:pPr>
            <w:r>
              <w:rPr>
                <w:rFonts w:ascii="Calibri" w:cs="Calibri" w:eastAsia="Calibri" w:hAnsi="Calibri"/>
                <w:i/>
                <w:iCs/>
                <w:color w:val="FFFFFF"/>
                <w:sz w:val="18"/>
                <w:szCs w:val="18"/>
              </w:rPr>
              <w:t xml:space="preserve">ParameterConflict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GR-0039  ↔  GR-0018</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The Equipment Schedule lists both MRI options as under active evaluation with structurally meaningful weight differences in the same document. Siemens MAGNETOM Altea magnet weight is 7,700 lb; GE SIGNA Creator magnet weight is approximately 8,100 lb. The 400-lb difference is structurally significant in the post-tensioned flat-plate design. Structural Engineer of Record (SER) cannot design to two different point loads simultaneously.</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Equipment Schedule EQ-020 — 'Siemens MAGNETOM Altea — magnet weight 7,700 lbs'</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Equipment Schedule EQ-020 Note — 'GE SIGNA also under evaluation — est. magnet weight ~8,100 lbs'</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SER proceeds on Siemens 7,700 lb basis per kickoff meeting agreement. Structural narrative flags MRI structure as DECISION-PENDING in 30% DD submittal. Vendor decision required by June 13, 2025 (GR-0018 / SMR-002) before 30% DD structural narrative is finalized. If GE is selected, MRI room slab and foundation design must be revised — flag in 30% DD coordination memo.</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Northstar Clinic Equipment Schedule v1.0 (D5)  ·  Northstar Clinic Equipment Schedule v1.0 (D5) — same document, internal contradiction</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CF-005</w:t>
            </w:r>
          </w:p>
          <w:p>
            <w:pPr>
              <w:spacing w:after="0" w:before="0"/>
            </w:pPr>
            <w:r>
              <w:rPr>
                <w:rFonts w:ascii="Calibri" w:cs="Calibri" w:eastAsia="Calibri" w:hAnsi="Calibri"/>
                <w:i/>
                <w:iCs/>
                <w:color w:val="FFFFFF"/>
                <w:sz w:val="18"/>
                <w:szCs w:val="18"/>
              </w:rPr>
              <w:t xml:space="preserve">AuthorityConflict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GR-0043  ↔  GR-0044</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TJC Regulatory Summary requires compliance with the latest adopted FGI edition per AHJ jurisdiction; the project-team planning basis is FGI 2022 Outpatient Guidelines. No document in the baseline set confirms that NM Department of Health has adopted FGI 2022 — pre-application research suggests NM DOH may remain on FGI 2018, which would change corridor widths, imaging room classifications, and ICRA scope across multiple records.</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TJC Summary RQ-002 — 'For all new construction, the organization shall comply with the latest adopted edition of the FGI Guidelines per the AHJ jurisdiction'</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Project planning basis — FGI 2022 (assumed). NM DOH adoption of FGI 2022 not confirmed in any source document. AHJ may require FGI 2018.</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Architect of Record (AOR) submit pre-application to NM DOH by May 23, 2025 (GR-0021 / SMR-005) confirming the applicable FGI edition, NM-specific amendments, and AHC occupancy classification. Design proceeds on FGI 2022 basis until response received. If FGI 2018 is confirmed, A/E identify all affected requirements and issue a design directive cataloging revisions.</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Northstar TJC Regulatory Requirements Summary v1.0 (D1)  ·  Northstar TJC Regulatory Requirements Summary v1.0 (D1) — internal authority hierarchy</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CF-006</w:t>
            </w:r>
          </w:p>
          <w:p>
            <w:pPr>
              <w:spacing w:after="0" w:before="0"/>
            </w:pPr>
            <w:r>
              <w:rPr>
                <w:rFonts w:ascii="Calibri" w:cs="Calibri" w:eastAsia="Calibri" w:hAnsi="Calibri"/>
                <w:i/>
                <w:iCs/>
                <w:color w:val="FFFFFF"/>
                <w:sz w:val="18"/>
                <w:szCs w:val="18"/>
              </w:rPr>
              <w:t xml:space="preserve">ScopeConflict</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GR-0050  ↔  GR-0031</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The TJC Summary requires STC 60 / IIC 55 acoustic separation between Level 2 clinical and Level 3 residential. The 8-inch post-tensioned flat-plate structural system alone cannot achieve this rating; an acoustic overlay or floating-floor system on the residential side is required. Neither the OPC nor the Programming Document budgets for the acoustic overlay or assigns scope responsibility to the base building or residential TI.</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TJC Summary RQ-019 — 'Minimum STC 60 between clinical floors (Levels 1–2) and residential floors (Level 3 and above). Floor/ceiling assembly between Level 2 clinic and Level 3 residential must achieve STC 60 / IIC 55.'</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Programming Doc §C / OPC — neither document budgets for acoustic overlay ($80K–$150K estimated) or assigns scope responsibility (base building vs. residential TI)</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Acoustic subconsultant confirm minimum assembly meeting STC 60 at 30% DD analysis. A/E identify cost allocation of acoustic overlay (Heritage or Northstar) before 60% DD. Cost incorporated in BCR-004 VE review at DD gate. Recommend allocation to base building scope on consistency grounds (the structural slab is base building) — but written owner agreement required.</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Northstar TJC Regulatory Requirements Summary v1.0 (D1)  ·  Heritage Owner Program Criteria Rev. 2 (D2)</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7 — Document Lineage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Document Lineage Log. </w:t>
            </w:r>
            <w:r>
              <w:rPr>
                <w:rFonts w:ascii="Calibri" w:cs="Calibri" w:eastAsia="Calibri" w:hAnsi="Calibri"/>
                <w:sz w:val="20"/>
                <w:szCs w:val="20"/>
              </w:rPr>
              <w:t xml:space="preserve">The Document Lineage Log is the chronological record of the source documents Gallant has processed into the project's requirements register, in the order they were processed. Each entry shows the document name, its version, when it was issued, when it was processed, how many requirements it added to the register, and whether it surfaced any conflicts. This log is the project's audit trail — the chain of custody for the requirements on the project. It is defensible to an owner, a lender, a federal contracting officer, or an auditor in any delivery context.</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Complete chronological record reproduced in full from the workbook below. The log is append-only — once a document is processed, its entry is preserved verbatim through every subsequent cycle.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Current cycle: Baseline Run (Entries 1–5). </w:t>
            </w:r>
            <w:r>
              <w:rPr>
                <w:rFonts w:ascii="Calibri" w:cs="Calibri" w:eastAsia="Calibri" w:hAnsi="Calibri"/>
                <w:sz w:val="20"/>
                <w:szCs w:val="20"/>
              </w:rPr>
              <w:t xml:space="preserve">All five baseline entries below are highlighted as the current cycle. Three documents are referenced but not yet processed (Entries 6–8) and appear in Section 8 as the next-cycle priority queue.</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Processed Documents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1500"/>
        <w:gridCol w:w="900"/>
        <w:gridCol w:w="1000"/>
        <w:gridCol w:w="850"/>
        <w:gridCol w:w="950"/>
        <w:gridCol w:w="850"/>
        <w:gridCol w:w="103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 Name</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 Type</w:t>
            </w:r>
          </w:p>
        </w:tc>
        <w:tc>
          <w:tcPr>
            <w:tcW w:type="dxa" w:w="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Version</w:t>
            </w:r>
          </w:p>
        </w:tc>
        <w:tc>
          <w:tcPr>
            <w:tcW w:type="dxa" w:w="1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Issued</w:t>
            </w:r>
          </w:p>
        </w:tc>
        <w:tc>
          <w:tcPr>
            <w:tcW w:type="dxa" w:w="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Processed</w:t>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Reqs Added</w:t>
            </w:r>
          </w:p>
        </w:tc>
        <w:tc>
          <w:tcPr>
            <w:tcW w:type="dxa" w:w="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Reg. After</w:t>
            </w:r>
          </w:p>
        </w:tc>
        <w:tc>
          <w:tcPr>
            <w:tcW w:type="dxa" w:w="10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Conflict Detected</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TJC Regulatory Requirements Summary v1.0</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Summary</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2025-01-15</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22</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 Program Criteria Rev. 2</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Program Requirements</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Rev. 2</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2024-12-10</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24</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Programming Document v1.0</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Budget Authorization</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2024-12-01</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 (CF-001)</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Milestone Schedule v1.0</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 Schedule</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2024-12-01</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 Equipment Schedule v1.0</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OFE Document</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2025-01-22</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 (CF-002, CF-004)</w:t>
            </w:r>
          </w:p>
        </w:tc>
      </w:tr>
      <w:tr>
        <w:trPr>
          <w:cantSplit w:val="false"/>
        </w:trPr>
        <w:tc>
          <w:tcPr>
            <w:tcW w:type="dxa" w:w="6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24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 Baseline Run</w:t>
            </w:r>
          </w:p>
        </w:tc>
        <w:tc>
          <w:tcPr>
            <w:tcW w:type="dxa" w:w="15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 documents</w:t>
            </w:r>
          </w:p>
        </w:tc>
        <w:tc>
          <w:tcPr>
            <w:tcW w:type="dxa" w:w="9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100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85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95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70</w:t>
            </w:r>
          </w:p>
        </w:tc>
        <w:tc>
          <w:tcPr>
            <w:tcW w:type="dxa" w:w="85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030"/>
            <w:tcBorders>
              <w:top w:val="single" w:color="BFC7D1" w:sz="4"/>
              <w:left w:val="single" w:color="BFC7D1" w:sz="4"/>
              <w:bottom w:val="single" w:color="BFC7D1" w:sz="4"/>
              <w:right w:val="single" w:color="BFC7D1" w:sz="4"/>
            </w:tcBorders>
            <w:shd w:fill="E5EAF2"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 cross-doc</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Per-Entry Relationship Detail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2400"/>
        <w:gridCol w:w="468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Authority Level</w:t>
            </w:r>
          </w:p>
        </w:tc>
        <w:tc>
          <w:tcPr>
            <w:tcW w:type="dxa" w:w="4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Relationships &amp; Notes</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TJC Regulatory Requirements Summary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Standard/Code · Governing · Prescriptive · High</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22 NEW · 0 SUPPLEMENT · 0 CONFLICT · 0 MATCH. 26 TJC requirements processed; 22 extracted as distinct register records, 4 consolidated into parent requirements. RCR and SLR categories seeded.</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 Program Criteria Rev. 2</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OwnerCriteria · Owner-Directive · Prescriptive · High</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24 NEW · 0 SUPPLEMENT · 0 CONFLICT · 0 MATCH. FR, PIR, PR, and OMR categories seeded. OPC is the primary program document; TJC requirements remain governing for regulatory matters.</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Programming Document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OwnerBudgetAuth · Owner-Directive · Interpretive · Standard</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 NEW (BCR + SMR budget) · 0 SUPPLEMENT · 1 CONFLICT detected · 0 MATCH. BCR-001 through BCR-004 and four SMR budget/schedule requirements extracted. CF-001 (generator capacity) detected in cross-document comparison with D2. CF-003 (AHU scope) detected in cross-document comparison with D2.</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Milestone Schedule v1.0</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ProgramDoc · Owner-Directive · Interpretive · Standard</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 NEW (SMR schedule milestones) · 4 SUPPLEMENT · 0 CONFLICT · 0 MATCH. SMR requirements extracted and linked to Programming Document parent requirements. Milestone schedule adds sequencing specificity not in Programming Document narrative.</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 Equipment Schedule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OFEDoc · Owner-Directive · Interpretive · High</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 NEW (PIR + OMR equipment interface) · 0 SUPPLEMENT · 2 CONFLICT detected · 0 MATCH. CF-002 (MRI equipment room area) and CF-004 (MRI structural point load — two vendor options) detected. Equipment facility inputs seed PIR requirements not present in OPC.</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Documents Referenced but Not Yet Processed</w:t>
      </w:r>
    </w:p>
    <w:p>
      <w:pPr>
        <w:spacing w:after="60" w:before="60" w:line="280"/>
        <w:jc w:val="both"/>
      </w:pPr>
      <w:r>
        <w:rPr>
          <w:rFonts w:ascii="Calibri" w:cs="Calibri" w:eastAsia="Calibri" w:hAnsi="Calibri"/>
          <w:sz w:val="20"/>
          <w:szCs w:val="20"/>
        </w:rPr>
        <w:t xml:space="preserve">Three governing documents are referenced in the current register but have not been processed into the baseline. They are listed here per Doc 5 v1.3 §7 and become the priority queue in Section 8.</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200"/>
        <w:gridCol w:w="1700"/>
        <w:gridCol w:w="1500"/>
        <w:gridCol w:w="308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 Type</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Expected</w:t>
            </w:r>
          </w:p>
        </w:tc>
        <w:tc>
          <w:tcPr>
            <w:tcW w:type="dxa" w:w="3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Trigger</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Kickoff Meeting Minutes (May 12, 2025)</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Meeting Minutes</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Issued — not processed</w:t>
            </w:r>
          </w:p>
        </w:tc>
        <w:tc>
          <w:tcPr>
            <w:tcW w:type="dxa" w:w="3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First incremental document — schedule for next processing cycle</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Schematic Design Basis of Design v1.0 (50% SD)</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Basis of Design</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11, 2025 (target)</w:t>
            </w:r>
          </w:p>
        </w:tc>
        <w:tc>
          <w:tcPr>
            <w:tcW w:type="dxa" w:w="3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First design output. RIR Cycle 1 triggered upon receipt.</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SD Outline Specifications — Divisions 01/11/22/23/26</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Specification</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August 29, 2025 (SD complete)</w:t>
            </w:r>
          </w:p>
        </w:tc>
        <w:tc>
          <w:tcPr>
            <w:tcW w:type="dxa" w:w="3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Pending SD completion</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8 — Next Cycle Dependencies</w:t>
      </w:r>
    </w:p>
    <w:p>
      <w:pPr>
        <w:spacing w:after="60" w:before="60" w:line="280"/>
        <w:jc w:val="both"/>
      </w:pPr>
      <w:r>
        <w:rPr>
          <w:rFonts w:ascii="Calibri" w:cs="Calibri" w:eastAsia="Calibri" w:hAnsi="Calibri"/>
          <w:sz w:val="20"/>
          <w:szCs w:val="20"/>
        </w:rPr>
        <w:t xml:space="preserve">Closes the Baseline Run with a forward-looking action orientation. Identifies referenced-but-unprocessed documents, anticipated submittals, and the input dependencies that block open DECISION-PENDING records. Per v1.3 spec, Baseline Run §8 names the established document set and the first anticipated incremental document.</w:t>
      </w:r>
    </w:p>
    <w:p>
      <w:pPr>
        <w:pStyle w:val="Heading2"/>
        <w:spacing w:after="100" w:before="240"/>
      </w:pPr>
      <w:r>
        <w:rPr>
          <w:rFonts w:ascii="Calibri" w:cs="Calibri" w:eastAsia="Calibri" w:hAnsi="Calibri"/>
          <w:b/>
          <w:bCs/>
          <w:color w:val="1F3864"/>
          <w:sz w:val="26"/>
          <w:szCs w:val="26"/>
        </w:rPr>
        <w:t xml:space="preserve">Baseline Document Set — Established</w:t>
      </w:r>
    </w:p>
    <w:p>
      <w:pPr>
        <w:spacing w:after="60" w:before="60" w:line="280"/>
        <w:jc w:val="both"/>
      </w:pPr>
      <w:r>
        <w:rPr>
          <w:rFonts w:ascii="Calibri" w:cs="Calibri" w:eastAsia="Calibri" w:hAnsi="Calibri"/>
          <w:sz w:val="20"/>
          <w:szCs w:val="20"/>
        </w:rPr>
        <w:t xml:space="preserve">Five documents constitute the founding source set for this register. All five processed January 28, 2025 in single-pass mode. No prior register existed.</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46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Authority Level</w:t>
            </w:r>
          </w:p>
        </w:tc>
        <w:tc>
          <w:tcPr>
            <w:tcW w:type="dxa" w:w="4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 Contributed</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 — Northstar TJC Regulatory Requirements Summary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Standard/Code · High</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22 (RCR/SLR seed)</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D2 — Heritage Owner Program Criteria Rev. 2</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OwnerCriteria · High</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24 (FR/PIR/PR/OMR seed)</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D3 — Heritage Health Campus Programming Document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OwnerBudgetAuth · Standard</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 (BCR/SMR budget)</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D4 — Heritage Health Campus Milestone Schedule v1.0</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ProgramDoc · Standard</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 (SMR schedule)</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D5 — Northstar Clinic Equipment Schedule v1.0</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OFEDoc · High</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 (PIR/OMR equipment)</w:t>
            </w:r>
          </w:p>
        </w:tc>
      </w:tr>
    </w:tbl>
    <w:p>
      <w:pPr>
        <w:pStyle w:val="Heading2"/>
        <w:spacing w:after="100" w:before="240"/>
      </w:pPr>
      <w:r>
        <w:rPr>
          <w:rFonts w:ascii="Calibri" w:cs="Calibri" w:eastAsia="Calibri" w:hAnsi="Calibri"/>
          <w:b/>
          <w:bCs/>
          <w:color w:val="1F3864"/>
          <w:sz w:val="26"/>
          <w:szCs w:val="26"/>
        </w:rPr>
        <w:t xml:space="preserve">Referenced but Unprocessed — Next Cycle Priority Queue</w:t>
      </w:r>
    </w:p>
    <w:p>
      <w:pPr>
        <w:spacing w:after="60" w:before="60" w:line="280"/>
        <w:jc w:val="both"/>
      </w:pPr>
      <w:r>
        <w:rPr>
          <w:rFonts w:ascii="Calibri" w:cs="Calibri" w:eastAsia="Calibri" w:hAnsi="Calibri"/>
          <w:sz w:val="20"/>
          <w:szCs w:val="20"/>
        </w:rPr>
        <w:t xml:space="preserve">Three documents referenced in the current register await processing. Recommended priority order is sequenced by likelihood of introducing new conflicts, superseding existing requirements, or closing open DECISION-PENDING items.</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200"/>
        <w:gridCol w:w="2200"/>
        <w:gridCol w:w="408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Priority</w:t>
            </w:r>
          </w:p>
        </w:tc>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Why It Matters</w:t>
            </w:r>
          </w:p>
        </w:tc>
        <w:tc>
          <w:tcPr>
            <w:tcW w:type="dxa" w:w="4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Expected Effect on Register</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Kickoff Meeting Minutes (May 12, 2025)</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First incremental document. Contains ~8 program changes and 11 action items per source-document index.</w:t>
            </w:r>
          </w:p>
        </w:tc>
        <w:tc>
          <w:tcPr>
            <w:tcW w:type="dxa" w:w="4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Likely to introduce SUPPLEMENT records to existing parents and may close 1–3 DECISION-PENDING items via owner direction captured in minutes. RIR Cycle 1 produced after processing.</w:t>
            </w:r>
          </w:p>
        </w:tc>
      </w:tr>
      <w:tr>
        <w:trPr>
          <w:cantSplit w:val="false"/>
        </w:trP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Schematic Design Basis of Design v1.0 (50% SD)</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First formal design output (target July 11, 2025). Triggers RIR Cycle 1.</w:t>
            </w:r>
          </w:p>
        </w:tc>
        <w:tc>
          <w:tcPr>
            <w:tcW w:type="dxa" w:w="4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Will introduce 30–60 new requirements as Architecture, MEP, and Structural narratives mature. Will likely supersede several Equipment Schedule PIR records with finalized facility inputs.</w:t>
            </w:r>
          </w:p>
        </w:tc>
      </w:tr>
      <w:tr>
        <w:trPr>
          <w:cantSplit w:val="false"/>
        </w:trP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SD Outline Specifications — Divisions 01/11/22/23/26 (August 29, 2025)</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Specification-level requirements. Codifies materials, equipment, and performance criteria.</w:t>
            </w:r>
          </w:p>
        </w:tc>
        <w:tc>
          <w:tcPr>
            <w:tcW w:type="dxa" w:w="4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Will add 50–100+ records primarily in PR (performance) and PIR (physical/interface) categories. Likely to surface MethodConflicts not detectable until specifications are written.</w:t>
            </w:r>
          </w:p>
        </w:tc>
      </w:tr>
    </w:tbl>
    <w:p>
      <w:pPr>
        <w:pStyle w:val="Heading2"/>
        <w:spacing w:after="100" w:before="240"/>
      </w:pPr>
      <w:r>
        <w:rPr>
          <w:rFonts w:ascii="Calibri" w:cs="Calibri" w:eastAsia="Calibri" w:hAnsi="Calibri"/>
          <w:b/>
          <w:bCs/>
          <w:color w:val="1F3864"/>
          <w:sz w:val="26"/>
          <w:szCs w:val="26"/>
        </w:rPr>
        <w:t xml:space="preserve">Input Dependencies — Owner / Vendor / AHJ Actions</w:t>
      </w:r>
    </w:p>
    <w:p>
      <w:pPr>
        <w:spacing w:after="60" w:before="60" w:line="280"/>
        <w:jc w:val="both"/>
      </w:pPr>
      <w:r>
        <w:rPr>
          <w:rFonts w:ascii="Calibri" w:cs="Calibri" w:eastAsia="Calibri" w:hAnsi="Calibri"/>
          <w:sz w:val="20"/>
          <w:szCs w:val="20"/>
        </w:rPr>
        <w:t xml:space="preserve">Six external inputs are blocking open DECISION-PENDING records. Resolution of these inputs cascades to closure of multiple downstream records. Listed in escalation priority.</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2400"/>
        <w:gridCol w:w="4180"/>
      </w:tblGrid>
      <w:tr>
        <w:trPr>
          <w:tblHeader/>
        </w:trPr>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Input Required</w:t>
            </w:r>
          </w:p>
        </w:tc>
        <w:tc>
          <w:tcPr>
            <w:tcW w:type="dxa" w:w="13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Deadline</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 It Closes</w:t>
            </w:r>
          </w:p>
        </w:tc>
        <w:tc>
          <w:tcPr>
            <w:tcW w:type="dxa" w:w="41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Escalation Path</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response (NM DOH)</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May 23, 2025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 GR-0035, GR-0043, GR-0044, GR-0046, GR-0048, GR-0061 + corridor design lock</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escalate Architect of Record (AOR) immediately. Design proceeds on FGI 2022 / AHC basis.</w:t>
            </w:r>
          </w:p>
        </w:tc>
      </w:tr>
      <w:tr>
        <w:trPr>
          <w:cantSplit w:val="false"/>
        </w:trP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investigation report</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June 6, 2025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 + unblocks BCR-004 VE-01 evaluation ($180K–$340K)</w:t>
            </w:r>
          </w:p>
        </w:tc>
        <w:tc>
          <w:tcPr>
            <w:tcW w:type="dxa" w:w="41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escalate Geotechnical Consultant immediately. Foundation design assumes Site Class D pending receipt.</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confirmation (OAI-001)</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13, 2025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 GR-0018, GR-0023, GR-0033, GR-0039 + closes CF-002, CF-004</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issue written confirmation. If decision will slip, formally adopt Siemens basis.</w:t>
            </w:r>
          </w:p>
        </w:tc>
      </w:tr>
      <w:tr>
        <w:trPr>
          <w:cantSplit w:val="false"/>
        </w:trP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delivery (Northstar)</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27, 2025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GR-0051 + unblocks HVAC zone narrative</w:t>
            </w:r>
          </w:p>
        </w:tc>
        <w:tc>
          <w:tcPr>
            <w:tcW w:type="dxa" w:w="41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Rep escalate to Northstar Clinical leadership and Infection Preventionist this week.</w:t>
            </w:r>
          </w:p>
        </w:tc>
      </w:tr>
      <w:tr>
        <w:trPr>
          <w:cantSplit w:val="false"/>
        </w:trP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allocation (BCR-003)</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11, 2025 (50% SD gate)</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 GR-0022, GR-0056, GR-0067 + closes CF-001, partial CF-003 chain</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Northstar Facilities execute scope-allocation memo or NNN Lease side letter.</w:t>
            </w:r>
          </w:p>
        </w:tc>
      </w:tr>
      <w:tr>
        <w:trPr>
          <w:cantSplit w:val="false"/>
        </w:trP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AHU procurement scope (CF-003)</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11, 2025 (50% SD gate)</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GR-0036, GR-0028 + AHU long-lead procurement (12–18 wk)</w:t>
            </w:r>
          </w:p>
        </w:tc>
        <w:tc>
          <w:tcPr>
            <w:tcW w:type="dxa" w:w="41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Northstar Facilities written boundary assignment in project memo or lease side letter.</w:t>
            </w:r>
          </w:p>
        </w:tc>
      </w:tr>
    </w:tbl>
    <w:p>
      <w:pPr>
        <w:pStyle w:val="Heading2"/>
        <w:spacing w:after="100" w:before="240"/>
      </w:pPr>
      <w:r>
        <w:rPr>
          <w:rFonts w:ascii="Calibri" w:cs="Calibri" w:eastAsia="Calibri" w:hAnsi="Calibri"/>
          <w:b/>
          <w:bCs/>
          <w:color w:val="1F3864"/>
          <w:sz w:val="26"/>
          <w:szCs w:val="26"/>
        </w:rPr>
        <w:t xml:space="preserve">Anticipated Submittals — Before Next RIR</w:t>
      </w:r>
    </w:p>
    <w:p>
      <w:pPr>
        <w:spacing w:after="60" w:before="60" w:line="280"/>
        <w:jc w:val="both"/>
      </w:pPr>
      <w:r>
        <w:rPr>
          <w:rFonts w:ascii="Calibri" w:cs="Calibri" w:eastAsia="Calibri" w:hAnsi="Calibri"/>
          <w:sz w:val="20"/>
          <w:szCs w:val="20"/>
        </w:rPr>
        <w:t xml:space="preserve">Documents expected to enter the source-document pipeline before the next processing cycle. Each is flagged for early notification to Gallant so processing can begin promptly.</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8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Anticipated Submittal</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Expected</w:t>
            </w:r>
          </w:p>
        </w:tc>
        <w:tc>
          <w:tcPr>
            <w:tcW w:type="dxa" w:w="4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Pipeline Action</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A/E Kickoff Meeting Minutes</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Already issued — May 12,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in next cycle. Highest priority.</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NM DOH AHJ pre-application response</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May–June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or Owner Directive on receipt.</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Investigation Report</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2025 (overdue)</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on receipt; trigger BCR-004 VE-01.</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Confirmation Memo (Northstar Biomedical)</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13,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on receipt; closes CF-002 and CF-004.</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Infection Control Risk Assessment (ICRA)</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27,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affects HVAC zones, sink placement.</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Allocation Memo (Heritage + Northstar)</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July 11,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closes CF-001 and unblocks BCR-003 chain.</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50% SD Basis of Design</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11,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Triggers RIR Cycle 1.</w:t>
            </w:r>
          </w:p>
        </w:tc>
      </w:tr>
    </w:tbl>
    <w:p>
      <w:pPr>
        <w:pStyle w:val="Heading2"/>
        <w:spacing w:after="100" w:before="240"/>
      </w:pPr>
      <w:r>
        <w:rPr>
          <w:rFonts w:ascii="Calibri" w:cs="Calibri" w:eastAsia="Calibri" w:hAnsi="Calibri"/>
          <w:b/>
          <w:bCs/>
          <w:color w:val="1F3864"/>
          <w:sz w:val="26"/>
          <w:szCs w:val="26"/>
        </w:rPr>
        <w:t xml:space="preserve">Recommended Processing Sequence — Next Cycle</w:t>
      </w:r>
    </w:p>
    <w:p>
      <w:pPr>
        <w:spacing w:after="60" w:before="60" w:line="280"/>
        <w:jc w:val="both"/>
      </w:pPr>
      <w:r>
        <w:rPr>
          <w:rFonts w:ascii="Calibri" w:cs="Calibri" w:eastAsia="Calibri" w:hAnsi="Calibri"/>
          <w:sz w:val="20"/>
          <w:szCs w:val="20"/>
        </w:rPr>
        <w:t xml:space="preserve">In sequence: process the A/E Kickoff Minutes first to capture program direction and close any DECISION-PENDING items already resolved verbally; process AHJ response as soon as received to unlock the eight-record FGI/AHC chain; process Geotechnical Report as soon as received to unblock VE-01; process owner directives (MRI, ICRA, generator) as they arrive; process the 50% SD BOD on July 11, 2025 to formally trigger RIR Cycle 1.</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First Gate the Owner Must Prepare For. </w:t>
            </w:r>
            <w:r>
              <w:rPr>
                <w:rFonts w:ascii="Calibri" w:cs="Calibri" w:eastAsia="Calibri" w:hAnsi="Calibri"/>
                <w:sz w:val="20"/>
                <w:szCs w:val="20"/>
              </w:rPr>
              <w:t xml:space="preserve">50% SD on July 11, 2025. Sixteen DECISION-PENDING items must close. Six conflicts must be resolved or formally accepted with risk acknowledged. Two overdue items (AHJ pre-application, Geotechnical Report) require immediate escalation this week. The next RIR is RIR Cycle 1, produced upon receipt of the 50% SD Basis of Design.</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Appendix A — Deviation Report and Recommended Corrections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Why this appendix exists. </w:t>
            </w:r>
            <w:r>
              <w:rPr>
                <w:rFonts w:ascii="Calibri" w:cs="Calibri" w:eastAsia="Calibri" w:hAnsi="Calibri"/>
                <w:sz w:val="20"/>
                <w:szCs w:val="20"/>
              </w:rPr>
              <w:t xml:space="preserve">Gallant applies the same analytical rigor to its own work product as it applies to the project record. The Deviation Report below documents ten findings — workbook structure issues, register classifications that needed correction, source-document inconsistencies, and project-state items — surfaced during baseline processing and review. Each finding has a severity, a recommended correction, and an accountable owner. Two of the ten findings (DEV-001, DEV-002) are Gallant-internal workbook items; eight are project-routed. Surfacing both categories side by side is a feature of the methodology, not a defect — clients should expect this kind of transparency in every RIR they receive.</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This appendix catalogs ten specific deviations identified during baseline processing and review. A deviation, in Gallant methodology, is distinct from a conflict (already reported in Section 6): conflicts are inter-document parameter contradictions; deviations are instances where the workbook, a register record, a source document, or a project state departs from the methodology standard or from its own internal logic. Each deviation below carries a severity, a specific deviation description, the expected state per methodology or source authority, a recommended correction, and the owner accountable for closing it.</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Reading guide. </w:t>
            </w:r>
            <w:r>
              <w:rPr>
                <w:rFonts w:ascii="Calibri" w:cs="Calibri" w:eastAsia="Calibri" w:hAnsi="Calibri"/>
                <w:sz w:val="20"/>
                <w:szCs w:val="20"/>
              </w:rPr>
              <w:t xml:space="preserve">Deviations are sorted by severity, then by domain. Workbook integrity items (DEV-001, DEV-002) should be corrected before the next RIR cycle to preserve TC-31, TC-32, and TC-33 pass status. Source-document deviations (DEV-003 through DEV-005) are owner-routed for resolution at the document level. Project-state deviations (DEV-006 through DEV-009) require immediate owner action with deadlines specified. DEV-010 is a methodology enhancement recommendation for the next workbook revision.</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3000"/>
        <w:gridCol w:w="1400"/>
        <w:gridCol w:w="1700"/>
        <w:gridCol w:w="2880"/>
      </w:tblGrid>
      <w:tr>
        <w:trPr>
          <w:tblHeader/>
        </w:trPr>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ID</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Title</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Severity</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Classification</w:t>
            </w:r>
          </w:p>
        </w:tc>
        <w:tc>
          <w:tcPr>
            <w:tcW w:type="dxa" w:w="2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w:t>
            </w:r>
          </w:p>
        </w:tc>
      </w:tr>
      <w:tr>
        <w:trPr>
          <w:cantSplit w:val="false"/>
        </w:trP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DEV-001</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Decision_Register sheet header inconsistent with body count</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Workbook Integrity</w:t>
            </w:r>
          </w:p>
        </w:tc>
        <w:tc>
          <w:tcPr>
            <w:tcW w:type="dxa" w:w="2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w:t>
            </w:r>
          </w:p>
        </w:tc>
      </w:tr>
      <w:tr>
        <w:trPr>
          <w:cantSplit w:val="false"/>
        </w:trP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DEV-002</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DecisionType field not aligned to Doc 5 v1.3 four-type taxonomy</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Methodology</w:t>
            </w:r>
          </w:p>
        </w:tc>
        <w:tc>
          <w:tcPr>
            <w:tcW w:type="dxa" w:w="2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w:t>
            </w:r>
          </w:p>
        </w:tc>
      </w:tr>
      <w:tr>
        <w:trPr>
          <w:cantSplit w:val="false"/>
        </w:trP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DEV-003</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Equipment Schedule lists two MRI vendors as design basis</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w:t>
            </w:r>
          </w:p>
        </w:tc>
        <w:tc>
          <w:tcPr>
            <w:tcW w:type="dxa" w:w="2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Biomedical</w:t>
            </w:r>
          </w:p>
        </w:tc>
      </w:tr>
      <w:tr>
        <w:trPr>
          <w:cantSplit w:val="false"/>
        </w:trP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DEV-004</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NNN Lease Exhibit D silent on AHU and generator scope</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w:t>
            </w:r>
          </w:p>
        </w:tc>
        <w:tc>
          <w:tcPr>
            <w:tcW w:type="dxa" w:w="2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 Northstar</w:t>
            </w:r>
          </w:p>
        </w:tc>
      </w:tr>
      <w:tr>
        <w:trPr>
          <w:cantSplit w:val="false"/>
        </w:trP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DEV-005</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adoption not confirmed in any source document</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 / Authority</w:t>
            </w:r>
          </w:p>
        </w:tc>
        <w:tc>
          <w:tcPr>
            <w:tcW w:type="dxa" w:w="2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(A/E)</w:t>
            </w:r>
          </w:p>
        </w:tc>
      </w:tr>
      <w:tr>
        <w:trPr>
          <w:cantSplit w:val="false"/>
        </w:trP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Report overdue past June 6, 2025</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State — Schedule</w:t>
            </w:r>
          </w:p>
        </w:tc>
        <w:tc>
          <w:tcPr>
            <w:tcW w:type="dxa" w:w="2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w:t>
            </w:r>
          </w:p>
        </w:tc>
      </w:tr>
      <w:tr>
        <w:trPr>
          <w:cantSplit w:val="false"/>
        </w:trP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DEV-007</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overdue past May 23, 2025</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State — Schedule</w:t>
            </w:r>
          </w:p>
        </w:tc>
        <w:tc>
          <w:tcPr>
            <w:tcW w:type="dxa" w:w="2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(A/E)</w:t>
            </w:r>
          </w:p>
        </w:tc>
      </w:tr>
      <w:tr>
        <w:trPr>
          <w:cantSplit w:val="false"/>
        </w:trP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DEV-008</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delivery tracked at lower priority than its impact</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State — Schedule</w:t>
            </w:r>
          </w:p>
        </w:tc>
        <w:tc>
          <w:tcPr>
            <w:tcW w:type="dxa" w:w="2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Rep / Northstar Clinical</w:t>
            </w:r>
          </w:p>
        </w:tc>
      </w:tr>
      <w:tr>
        <w:trPr>
          <w:cantSplit w:val="false"/>
        </w:trP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DEV-009</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TPC variance ($72M vs. $68M) exceeds BCR-004 trigger</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State — Cost</w:t>
            </w:r>
          </w:p>
        </w:tc>
        <w:tc>
          <w:tcPr>
            <w:tcW w:type="dxa" w:w="2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Consultant</w:t>
            </w:r>
          </w:p>
        </w:tc>
      </w:tr>
      <w:tr>
        <w:trPr>
          <w:cantSplit w:val="false"/>
        </w:trP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DEV-010</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Verification_Matrix lacks dependency-blocker linkage</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Moderate</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Methodology Enhancement</w:t>
            </w:r>
          </w:p>
        </w:tc>
        <w:tc>
          <w:tcPr>
            <w:tcW w:type="dxa" w:w="2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Deviation Detail</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DEV-001  </w:t>
            </w:r>
            <w:r>
              <w:rPr>
                <w:rFonts w:ascii="Calibri" w:cs="Calibri" w:eastAsia="Calibri" w:hAnsi="Calibri"/>
                <w:color w:val="FFFFFF"/>
                <w:sz w:val="22"/>
                <w:szCs w:val="22"/>
              </w:rPr>
              <w:t xml:space="preserve"> ·  Decision_Register sheet header inconsistent with body count</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C9A227"/>
                <w:sz w:val="18"/>
                <w:szCs w:val="18"/>
              </w:rPr>
              <w:t xml:space="preserve">High</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Workbook Integrity</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Gallant Requirements Workbook v1.0</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The Decision_Register sheet header reads 'OPEN DECISION COUNT: 0 of 70 requirements,' yet the Summary_Sheet reports 16 DECISION-PENDING records and the Requirements_Register sheet contains 16 records with RequirementStatus = DECISION-PENDING. The Decision_Register sheet body is empty below its column headers.</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Doc 4 Output Standards v1.2 §4.A and Doc 5 v1.3 §4.A, the Decision_Register sheet must contain one row per open DECISION-PENDING record, organized by the four-type taxonomy. Doc 5 v1.3 TC-33 explicitly requires Section 4.A count to match the Decision_Register sheet count exactly.</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Repopulate the Decision_Register workbook sheet with all 16 DECISION-PENDING records grouped by DecisionType (5 TBD-UNRESOLVED, 9 CONDITIONAL, 2 EMBEDDED-CHOICE, 0 SHOULD-LANGUAGE). Update the header count from 0 to 16. Re-run TC-31, TC-32, and TC-33 to confirm pass status. Section 4.A of this RIR was sourced directly from the Requirements_Register and is correct as published.</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Gallant Project Solutions (internal data integrity)</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Before next workbook revision (prior to RIR Cycle 1)</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DEV-002  </w:t>
            </w:r>
            <w:r>
              <w:rPr>
                <w:rFonts w:ascii="Calibri" w:cs="Calibri" w:eastAsia="Calibri" w:hAnsi="Calibri"/>
                <w:color w:val="FFFFFF"/>
                <w:sz w:val="22"/>
                <w:szCs w:val="22"/>
              </w:rPr>
              <w:t xml:space="preserve"> ·  DecisionType field not aligned to Doc 5 v1.3 four-type taxonomy</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C9A227"/>
                <w:sz w:val="18"/>
                <w:szCs w:val="18"/>
              </w:rPr>
              <w:t xml:space="preserve">High</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Register Methodology</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Requirements_Register sheet — DecisionType column</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The DecisionType field in the Requirements_Register currently carries values such as 'DECISION_REQUIRED,' 'DECISION_REQUIRED | LONG_LEAD | MULTI_DISCIPLINE_COORDINATION,' and 'DECISION_REQUIRED | REGULATORY_APPROVAL.' These are RiskDriver / KeywordFlag values, not DecisionType values per the Doc 5 v1.3 four-type taxonomy.</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Doc 5 v1.3 §3 View 8 and §4.A, DecisionType must be one of: TBD-UNRESOLVED, CONDITIONAL, EMBEDDED-CHOICE, or SHOULD-LANGUAGE. The 16 DECISION-PENDING records require explicit DecisionType assignment. RiskDriver tags belong in the KeywordFlags / RiskDrivers column, not DecisionType.</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Reclassify the 16 DECISION-PENDING records into the four-type DecisionType taxonomy. Move existing DECISION_REQUIRED tag values into the KeywordFlags column where they were intended. Section 4.A of this RIR presents the correct classification (5 TBD-UNRESOLVED, 9 CONDITIONAL, 2 EMBEDDED-CHOICE, 0 SHOULD-LANGUAGE) — this should be back-populated to the workbook.</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Gallant Project Solutions (internal classification refresh)</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Before next workbook revision (prior to RIR Cycle 1)</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DEV-003  </w:t>
            </w:r>
            <w:r>
              <w:rPr>
                <w:rFonts w:ascii="Calibri" w:cs="Calibri" w:eastAsia="Calibri" w:hAnsi="Calibri"/>
                <w:color w:val="FFFFFF"/>
                <w:sz w:val="22"/>
                <w:szCs w:val="22"/>
              </w:rPr>
              <w:t xml:space="preserve"> ·  Equipment Schedule lists two MRI vendors as concurrent design basis</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B91C1C"/>
                <w:sz w:val="18"/>
                <w:szCs w:val="18"/>
              </w:rPr>
              <w:t xml:space="preserve">Critical</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Source Document — Internal Inconsistency</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Northstar Clinic Equipment Schedule v1.0 (D5) — EQ-020, EQ-021</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Equipment Schedule v1.0 lists Siemens MAGNETOM Altea as the primary entry with magnet weight 7,700 lb and equipment-room footprint 200 NSF, while a same-document note states 'GE SIGNA also under evaluation — est. magnet weight ~8,100 lb, requires ~240 NSF equipment room.' One source document presents two structurally and dimensionally distinct design baselines as concurrently valid.</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An OFE document is expected to designate a single confirmed vendor and equipment basis at the time of issue, or explicitly flag the document as preliminary pending OAI resolution. The current state forces the design team to carry two contradictory bases and has produced two register conflicts (CF-002 area, CF-004 structural) and three CONDITIONAL DECISION-PENDING records (GR-0023 RF shielding, GR-0033 room dimensions, GR-0039 structural).</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Biomedical Engineering Lead issue a formal vendor-confirmation memo by June 13, 2025, naming the selected MRI vendor, and reissue the Equipment Schedule as v1.1 with the unsuccessful option removed. Until the memo is received, A/E and SER document the Siemens basis as the operative design assumption per kickoff agreement.</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Northstar Biomedical Engineering — Biomedical Engineering Lead</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June 13, 2025 (matches GR-0018 SMR-002)</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DEV-004  </w:t>
            </w:r>
            <w:r>
              <w:rPr>
                <w:rFonts w:ascii="Calibri" w:cs="Calibri" w:eastAsia="Calibri" w:hAnsi="Calibri"/>
                <w:color w:val="FFFFFF"/>
                <w:sz w:val="22"/>
                <w:szCs w:val="22"/>
              </w:rPr>
              <w:t xml:space="preserve"> ·  NNN Lease Exhibit D silent on AHU procurement and generator upsize cost</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B91C1C"/>
                <w:sz w:val="18"/>
                <w:szCs w:val="18"/>
              </w:rPr>
              <w:t xml:space="preserve">Critical</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Source Document — Coverage Gap</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Heritage Health Campus Programming Document v1.0 (D3) referencing NNN Lease Exhibit D</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OPC §4.1 mandates dedicated clinical AHUs separate from base building HVAC systems, and OPC §4.2 / Programming Doc §C imply a generator upsize from 200 kW to 350 kW for combined NFPA 99 compliance. The NNN Lease Exhibit D Landlord Work / Tenant Work matrix — the contractually controlling scope-allocation document — is silent on both the clinical AHU procurement boundary and the generator upsize cost allocation.</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Exhibit D is expected to assign every major building system to either Landlord Work or Tenant Work without ambiguity. Silence on systems explicitly required by other governing source documents creates contract-scope deviations (CF-003 AHU and CF-001 generator) that the design team and CMAR cannot resolve unilaterally.</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Owner's PM and Tenant Facilities Lead execute a joint scope-allocation memorandum or NNN Lease side letter before the 50% SD gate (July 11, 2025) that explicitly assigns: (1) clinical AHU procurement scope and cost; (2) generator capacity (350 kW) and the 200 kW→350 kW upsize cost allocation. The memorandum or side letter should reference Exhibit D explicitly and become a controlled appendix to the lease.</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Heritage Real Estate Partners + Northstar Health System</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Before 50% SD gate — July 11, 2025</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DEV-005  </w:t>
            </w:r>
            <w:r>
              <w:rPr>
                <w:rFonts w:ascii="Calibri" w:cs="Calibri" w:eastAsia="Calibri" w:hAnsi="Calibri"/>
                <w:color w:val="FFFFFF"/>
                <w:sz w:val="22"/>
                <w:szCs w:val="22"/>
              </w:rPr>
              <w:t xml:space="preserve"> ·  FGI edition adoption not confirmed in any source document</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B91C1C"/>
                <w:sz w:val="18"/>
                <w:szCs w:val="18"/>
              </w:rPr>
              <w:t xml:space="preserve">Critical</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Source Document / Authority</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Northstar TJC Regulatory Requirements Summary v1.0 (D1)</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TJC Summary RQ-002 cites compliance with the 'latest adopted edition' of FGI per AHJ jurisdiction. The project-team planning basis is FGI 2022 Outpatient Guidelines. No document in the baseline source set confirms that NM Department of Health (the AHJ) has adopted FGI 2022. Pre-application research suggests NM DOH may remain on FGI 2018, which would alter corridor widths, imaging classifications, and ICRA scope.</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When a regulatory framework references AHJ-adopted versions, the project record must contain explicit AHJ confirmation of the adopted edition before the design proceeds beyond programming. Carrying an unconfirmed planning basis through SD risks late-stage revision when the AHJ response arrives.</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Architect of Record (AOR) submit AHJ pre-application to NM DOH if not already submitted, and place the AHJ written response in the project record on receipt. The response document, once received, will be processed as a Source Document or Owner Directive in the next RIR cycle and will close CF-005 plus seven CONDITIONAL DECISION-PENDING records (GR-0021, GR-0035, GR-0043, GR-0044, GR-0046, GR-0048, GR-0061).</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Architect of Record (AOR) — AOR Project Architect</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OVERDUE — May 23, 2025 (immediate action)</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DEV-006  </w:t>
            </w:r>
            <w:r>
              <w:rPr>
                <w:rFonts w:ascii="Calibri" w:cs="Calibri" w:eastAsia="Calibri" w:hAnsi="Calibri"/>
                <w:color w:val="FFFFFF"/>
                <w:sz w:val="22"/>
                <w:szCs w:val="22"/>
              </w:rPr>
              <w:t xml:space="preserve"> ·  Geotechnical Report overdue past June 6, 2025</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B91C1C"/>
                <w:sz w:val="18"/>
                <w:szCs w:val="18"/>
              </w:rPr>
              <w:t xml:space="preserve">Critical</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Project State — Schedule Deviation</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Register record GR-0020 / SMR-004</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GR-0020 requires the Geotechnical Investigation Report from Geotechnical Consultant prior to 50% SD structural narrative. The report was authorized December 2024 with deadline June 6, 2025 and was not received as of the baseline report date. Site Class D is currently assumed without confirmation.</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the SMR-004 deadline and BCR-004 §C, the Geotechnical Report must be in the project record before structural narrative finalization at 50% SD and is the trigger for the BCR-004 VE-01 evaluation (foundation system value engineering with $180K–$340K savings range).</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Owner's PM escalate Geotechnical Consultant this week with a request for status and revised delivery date. If the report cannot be received before 50% SD, formally accept Site Class D as the design assumption in writing and defer VE-01 evaluation to the next phase. The lost VE opportunity ($180K–$340K) becomes a known shortfall against the BCR-001 variance.</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Heritage Real Estate Partners — Owner's PM</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OVERDUE — Immediate escalation; resolution before 50% SD if achievable</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DEV-007  </w:t>
            </w:r>
            <w:r>
              <w:rPr>
                <w:rFonts w:ascii="Calibri" w:cs="Calibri" w:eastAsia="Calibri" w:hAnsi="Calibri"/>
                <w:color w:val="FFFFFF"/>
                <w:sz w:val="22"/>
                <w:szCs w:val="22"/>
              </w:rPr>
              <w:t xml:space="preserve"> ·  AHJ pre-application overdue past May 23, 2025</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B91C1C"/>
                <w:sz w:val="18"/>
                <w:szCs w:val="18"/>
              </w:rPr>
              <w:t xml:space="preserve">Critical</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Project State — Schedule Deviation</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Register record GR-0021 / SMR-005</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GR-0021 requires submission of an AHJ pre-application inquiry to NM DOH confirming applicable FGI edition and AHC occupancy classification by May 23, 2025. Submission status was Open at baseline. This is the second of two overdue items at baseline (DEV-006 is the first).</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SMR-005, the AHJ pre-application must be submitted before SD corridor widths and egress design are finalized. The response governs eight downstream records (GR-0021, GR-0035, GR-0043, GR-0044, GR-0046, GR-0048, GR-0061, plus implicit dependencies in GR-0019 ICRA and GR-0033 imaging).</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Architect of Record (AOR) confirm submission status this week. If the pre-application has not been submitted, submit it within the next five working days. Until response is received, design proceeds on the FGI 2022 / AHC planning basis and any conflicting AHJ response triggers an A/E design directive cataloging affected records.</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Architect of Record (AOR) — AOR Project Architect</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OVERDUE — Immediate submission required</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DEV-008  </w:t>
            </w:r>
            <w:r>
              <w:rPr>
                <w:rFonts w:ascii="Calibri" w:cs="Calibri" w:eastAsia="Calibri" w:hAnsi="Calibri"/>
                <w:color w:val="FFFFFF"/>
                <w:sz w:val="22"/>
                <w:szCs w:val="22"/>
              </w:rPr>
              <w:t xml:space="preserve"> ·  ICRA delivery tracked at lower priority than its design-blocker impact</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C9A227"/>
                <w:sz w:val="18"/>
                <w:szCs w:val="18"/>
              </w:rPr>
              <w:t xml:space="preserve">High</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Project State — Schedule Deviation</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Register record GR-0019 / SMR-003</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GR-0019 requires ICRA completion by Northstar Infection Preventionist by June 27, 2025. The ICRA governs HVAC zone boundaries, negative-pressure extents, and clinical-sink placement (GR-0051). Without it, MEP-EOR cannot finalize the 50% SD HVAC narrative. The MS-022 milestone shows ICRA as Northstar's deliverable but it is not currently tracked at the same cadence as MRI vendor and AHJ items in coordination meetings.</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Gallant methodology, any DECISION-PENDING item that gates a downstream design narrative should be escalated proportional to its impact, regardless of whether it is the owner's or A/E's deliverable. ICRA blocks the 50% SD HVAC narrative and is a TJC AHC accreditation requirement at the programming stage.</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Owner's Rep escalate ICRA delivery to Northstar Clinical leadership and the Infection Preventionist this week. Place ICRA on the same priority tier as MRI vendor and AHJ response in weekly status reporting. If ICRA will slip past June 27, request an interim written decision from the Infection Preventionist on HVAC zone boundaries so the A/E can advance the SD HVAC narrative without the full document.</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Owner's Representative + Northstar Clinical Operations</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Escalation this week; ICRA delivery by June 27, 2025</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DEV-009  </w:t>
            </w:r>
            <w:r>
              <w:rPr>
                <w:rFonts w:ascii="Calibri" w:cs="Calibri" w:eastAsia="Calibri" w:hAnsi="Calibri"/>
                <w:color w:val="FFFFFF"/>
                <w:sz w:val="22"/>
                <w:szCs w:val="22"/>
              </w:rPr>
              <w:t xml:space="preserve"> ·  TPC variance ($72M vs. $68M) exceeds BCR-004 trigger before SD entry</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C9A227"/>
                <w:sz w:val="18"/>
                <w:szCs w:val="18"/>
              </w:rPr>
              <w:t xml:space="preserve">High</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Project State — Cost Deviation</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Register record GR-0027 / BCR-001 vs. GR-0030 / BCR-004</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Current TPC estimate is $72M against the Board-authorized $68M ceiling — a $4M variance (5.9%). BCR-004 specifies a 5% variance threshold that triggers a VE options log. The variance is already exceeded at baseline, before SD has begun, and three known cost pressures (generator upsize $180K–$260K, acoustic overlay $80K–$150K, MRI room reconfiguration if GE selected) remain open.</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BCR-001 (Board Resolution 2024-11), variances exceeding 5% require written Board re-authorization before proceeding. Per BCR-004, the A/E shall prepare a VE options log for Owner review before CD NTP if the DD estimate exceeds the threshold. The current variance is well past the trigger and is not yet on a documented variance-resolution path.</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Cost Consultant prepare a formal BCR-004 variance report at the 50% SD review with a VE options log attached. Include: (1) VE-01 foundation savings $180K–$340K (contingent on DEV-006 closure); (2) generator allocation outcome (CF-001 / DEV-004); (3) acoustic overlay allocation (CF-006). Initiate Board re-authorization process if combined offsets do not retire the variance to within the 5% ceiling.</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Cost Consultant + Owner's PM</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50% SD review (July 11, 2025) at the latest</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BFC7D1" w:sz="4"/>
              <w:right w:val="single" w:color="1F3864" w:sz="6"/>
            </w:tcBorders>
            <w:shd w:fill="1F3864" w:val="clear"/>
            <w:tcMar>
              <w:top w:type="dxa" w:w="80"/>
              <w:left w:type="dxa" w:w="200"/>
              <w:bottom w:type="dxa" w:w="80"/>
              <w:right w:type="dxa" w:w="200"/>
            </w:tcMar>
          </w:tcPr>
          <w:p>
            <w:pPr>
              <w:spacing w:after="0" w:before="0"/>
            </w:pPr>
            <w:r>
              <w:rPr>
                <w:rFonts w:ascii="Calibri" w:cs="Calibri" w:eastAsia="Calibri" w:hAnsi="Calibri"/>
                <w:b/>
                <w:bCs/>
                <w:color w:val="FFFFFF"/>
                <w:sz w:val="24"/>
                <w:szCs w:val="24"/>
              </w:rPr>
              <w:t xml:space="preserve">DEV-010  </w:t>
            </w:r>
            <w:r>
              <w:rPr>
                <w:rFonts w:ascii="Calibri" w:cs="Calibri" w:eastAsia="Calibri" w:hAnsi="Calibri"/>
                <w:color w:val="FFFFFF"/>
                <w:sz w:val="22"/>
                <w:szCs w:val="22"/>
              </w:rPr>
              <w:t xml:space="preserve"> ·  Verification_Matrix lacks dependency-blocker linkage to DECISION-PENDING records</w:t>
            </w:r>
          </w:p>
        </w:tc>
      </w:tr>
      <w:tr>
        <w:tc>
          <w:tcPr>
            <w:tcW w:type="dxa" w:w="10080"/>
            <w:tcBorders>
              <w:top w:val="single" w:color="BFC7D1" w:sz="4"/>
              <w:left w:val="single" w:color="1F3864" w:sz="6"/>
              <w:bottom w:val="single" w:color="BFC7D1" w:sz="4"/>
              <w:right w:val="single" w:color="1F3864" w:sz="6"/>
            </w:tcBorders>
            <w:shd w:fill="E5EAF2" w:val="clear"/>
            <w:tcMar>
              <w:top w:type="dxa" w:w="60"/>
              <w:left w:type="dxa" w:w="200"/>
              <w:bottom w:type="dxa" w:w="60"/>
              <w:right w:type="dxa" w:w="200"/>
            </w:tcMar>
          </w:tcPr>
          <w:p>
            <w:pPr>
              <w:spacing w:after="0" w:before="0"/>
            </w:pPr>
            <w:r>
              <w:rPr>
                <w:rFonts w:ascii="Calibri" w:cs="Calibri" w:eastAsia="Calibri" w:hAnsi="Calibri"/>
                <w:b/>
                <w:bCs/>
                <w:color w:val="475569"/>
                <w:sz w:val="18"/>
                <w:szCs w:val="18"/>
              </w:rPr>
              <w:t xml:space="preserve">Severity: </w:t>
            </w:r>
            <w:r>
              <w:rPr>
                <w:rFonts w:ascii="Calibri" w:cs="Calibri" w:eastAsia="Calibri" w:hAnsi="Calibri"/>
                <w:b/>
                <w:bCs/>
                <w:color w:val="475569"/>
                <w:sz w:val="18"/>
                <w:szCs w:val="18"/>
              </w:rPr>
              <w:t xml:space="preserve">Moderate</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Classification: </w:t>
            </w:r>
            <w:r>
              <w:rPr>
                <w:rFonts w:ascii="Calibri" w:cs="Calibri" w:eastAsia="Calibri" w:hAnsi="Calibri"/>
                <w:color w:val="475569"/>
                <w:sz w:val="18"/>
                <w:szCs w:val="18"/>
              </w:rPr>
              <w:t xml:space="preserve">Methodology Enhancement</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Found in: </w:t>
            </w:r>
            <w:r>
              <w:rPr>
                <w:rFonts w:ascii="Calibri" w:cs="Calibri" w:eastAsia="Calibri" w:hAnsi="Calibri"/>
                <w:color w:val="475569"/>
                <w:sz w:val="18"/>
                <w:szCs w:val="18"/>
              </w:rPr>
              <w:t xml:space="preserve">Verification_Matrix sheet — current schema</w:t>
            </w:r>
          </w:p>
        </w:tc>
      </w:tr>
      <w:tr>
        <w:tc>
          <w:tcPr>
            <w:tcW w:type="dxa" w:w="10080"/>
            <w:tcBorders>
              <w:top w:val="single" w:color="BFC7D1" w:sz="4"/>
              <w:left w:val="single" w:color="1F3864" w:sz="6"/>
              <w:bottom w:val="single" w:color="1F3864" w:sz="6"/>
              <w:right w:val="single" w:color="1F3864" w:sz="6"/>
            </w:tcBorders>
            <w:shd w:fill="FFFFFF" w:val="clear"/>
            <w:tcMar>
              <w:top w:type="dxa" w:w="100"/>
              <w:left w:type="dxa" w:w="200"/>
              <w:bottom w:type="dxa" w:w="100"/>
              <w:right w:type="dxa" w:w="200"/>
            </w:tcMar>
          </w:tcPr>
          <w:p>
            <w:pPr>
              <w:spacing w:after="60" w:before="0"/>
            </w:pPr>
            <w:r>
              <w:rPr>
                <w:rFonts w:ascii="Calibri" w:cs="Calibri" w:eastAsia="Calibri" w:hAnsi="Calibri"/>
                <w:b/>
                <w:bCs/>
                <w:color w:val="1F3864"/>
                <w:sz w:val="20"/>
                <w:szCs w:val="20"/>
              </w:rPr>
              <w:t xml:space="preserve">Deviation. </w:t>
            </w:r>
            <w:r>
              <w:rPr>
                <w:rFonts w:ascii="Calibri" w:cs="Calibri" w:eastAsia="Calibri" w:hAnsi="Calibri"/>
                <w:sz w:val="20"/>
                <w:szCs w:val="20"/>
              </w:rPr>
              <w:t xml:space="preserve">Twenty-two records (16 DECISION-PENDING + 6 CONFLICT-PENDING) carry VerificationStatus = 'Pending' or 'Not Started' while their underlying DecisionDeadline or AHJ response is the actual gating event. The Verification_Matrix does not currently surface this linkage — a reader cannot tell from the matrix alone what specific event will move a Pending record into 'In Progress.'</w:t>
            </w:r>
          </w:p>
          <w:p>
            <w:pPr>
              <w:spacing w:after="60" w:before="0"/>
            </w:pPr>
            <w:r>
              <w:rPr>
                <w:rFonts w:ascii="Calibri" w:cs="Calibri" w:eastAsia="Calibri" w:hAnsi="Calibri"/>
                <w:b/>
                <w:bCs/>
                <w:color w:val="1F3864"/>
                <w:sz w:val="20"/>
                <w:szCs w:val="20"/>
              </w:rPr>
              <w:t xml:space="preserve">Expected per methodology / source authority. </w:t>
            </w:r>
            <w:r>
              <w:rPr>
                <w:rFonts w:ascii="Calibri" w:cs="Calibri" w:eastAsia="Calibri" w:hAnsi="Calibri"/>
                <w:sz w:val="20"/>
                <w:szCs w:val="20"/>
              </w:rPr>
              <w:t xml:space="preserve">Per Doc 4 Output Standards (intent), the Verification_Matrix should be a complete and self-contained view of how each requirement will be verified, including blockers. The current schema captures method, authority, and phase but not the upstream dependency that gates verification start.</w:t>
            </w:r>
          </w:p>
          <w:p>
            <w:pPr>
              <w:spacing w:after="60" w:before="0"/>
            </w:pPr>
            <w:r>
              <w:rPr>
                <w:rFonts w:ascii="Calibri" w:cs="Calibri" w:eastAsia="Calibri" w:hAnsi="Calibri"/>
                <w:b/>
                <w:bCs/>
                <w:color w:val="C9A227"/>
                <w:sz w:val="20"/>
                <w:szCs w:val="20"/>
              </w:rPr>
              <w:t xml:space="preserve">Recommended correction. </w:t>
            </w:r>
            <w:r>
              <w:rPr>
                <w:rFonts w:ascii="Calibri" w:cs="Calibri" w:eastAsia="Calibri" w:hAnsi="Calibri"/>
                <w:sz w:val="20"/>
                <w:szCs w:val="20"/>
              </w:rPr>
              <w:t xml:space="preserve">In the next workbook revision (before RIR Cycle 1), add a 'Verification Blocker' column to the Verification_Matrix linking each Pending record to its blocking Decision ID, Conflict ID, or external input (AHJ response, ICRA, vendor confirmation, etc.). Where no blocker exists, the cell reads 'None — verification can begin per phase.' This change should also be recorded in Doc 4 v1.3 update queue.</w:t>
            </w:r>
          </w:p>
          <w:p>
            <w:pPr>
              <w:spacing w:after="0" w:before="0"/>
            </w:pPr>
            <w:r>
              <w:rPr>
                <w:rFonts w:ascii="Calibri" w:cs="Calibri" w:eastAsia="Calibri" w:hAnsi="Calibri"/>
                <w:b/>
                <w:bCs/>
                <w:color w:val="475569"/>
                <w:sz w:val="18"/>
                <w:szCs w:val="18"/>
              </w:rPr>
              <w:t xml:space="preserve">Correction owner: </w:t>
            </w:r>
            <w:r>
              <w:rPr>
                <w:rFonts w:ascii="Calibri" w:cs="Calibri" w:eastAsia="Calibri" w:hAnsi="Calibri"/>
                <w:color w:val="475569"/>
                <w:sz w:val="18"/>
                <w:szCs w:val="18"/>
              </w:rPr>
              <w:t xml:space="preserve">Gallant Project Solutions (internal methodology update)</w:t>
            </w:r>
            <w:r>
              <w:rPr>
                <w:rFonts w:ascii="Calibri" w:cs="Calibri" w:eastAsia="Calibri" w:hAnsi="Calibri"/>
                <w:color w:val="475569"/>
                <w:sz w:val="18"/>
                <w:szCs w:val="18"/>
              </w:rPr>
              <w:t xml:space="preserve">    ·    </w:t>
            </w:r>
            <w:r>
              <w:rPr>
                <w:rFonts w:ascii="Calibri" w:cs="Calibri" w:eastAsia="Calibri" w:hAnsi="Calibri"/>
                <w:b/>
                <w:bCs/>
                <w:color w:val="475569"/>
                <w:sz w:val="18"/>
                <w:szCs w:val="18"/>
              </w:rPr>
              <w:t xml:space="preserve">Target close: </w:t>
            </w:r>
            <w:r>
              <w:rPr>
                <w:rFonts w:ascii="Calibri" w:cs="Calibri" w:eastAsia="Calibri" w:hAnsi="Calibri"/>
                <w:color w:val="475569"/>
                <w:sz w:val="18"/>
                <w:szCs w:val="18"/>
              </w:rPr>
              <w:t xml:space="preserve">Next workbook revision (target: prior to RIR Cycle 1, July 2025)</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Closure Summary</w:t>
      </w:r>
    </w:p>
    <w:p>
      <w:pPr>
        <w:spacing w:after="60" w:before="60" w:line="280"/>
        <w:jc w:val="both"/>
      </w:pPr>
      <w:r>
        <w:rPr>
          <w:rFonts w:ascii="Calibri" w:cs="Calibri" w:eastAsia="Calibri" w:hAnsi="Calibri"/>
          <w:sz w:val="20"/>
          <w:szCs w:val="20"/>
        </w:rPr>
        <w:t xml:space="preserve">Of the ten deviations cataloged: two require immediate action (DEV-006 and DEV-007 are overdue), four require action before the 50% SD gate on July 11, 2025 (DEV-003, DEV-004, DEV-008, DEV-009), three are workbook or methodology updates owned by Gallant before RIR Cycle 1 (DEV-001, DEV-002, DEV-010), and one is a documentary closure that will arrive with the AHJ response (DEV-005). Closing all ten before the 50% SD gate will leave the register in a defensible state for design phase entry and provide a clean audit trail for owner, lender, COR, or auditor review.</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1700"/>
        <w:gridCol w:w="36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Closure Window</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 Cluster</w:t>
            </w:r>
          </w:p>
        </w:tc>
        <w:tc>
          <w:tcPr>
            <w:tcW w:type="dxa" w:w="3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Items</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Immediate (this week)</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 A/E</w:t>
            </w:r>
          </w:p>
        </w:tc>
        <w:tc>
          <w:tcPr>
            <w:tcW w:type="dxa" w:w="3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DEV-006, DEV-007</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50% SD gate (July 11, 2025)</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 Northstar</w:t>
            </w:r>
          </w:p>
        </w:tc>
        <w:tc>
          <w:tcPr>
            <w:tcW w:type="dxa" w:w="3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DEV-003, DEV-004, DEV-008, DEV-009</w:t>
            </w:r>
          </w:p>
        </w:tc>
      </w:tr>
      <w:tr>
        <w:trPr>
          <w:cantSplit w:val="false"/>
        </w:trP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RIR Cycle 1</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w:t>
            </w:r>
          </w:p>
        </w:tc>
        <w:tc>
          <w:tcPr>
            <w:tcW w:type="dxa" w:w="3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DEV-001, DEV-002, DEV-010</w:t>
            </w:r>
          </w:p>
        </w:tc>
      </w:tr>
      <w:tr>
        <w:trPr>
          <w:cantSplit w:val="false"/>
        </w:trP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With AHJ response (closure on receipt)</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 A/E</w:t>
            </w:r>
          </w:p>
        </w:tc>
        <w:tc>
          <w:tcPr>
            <w:tcW w:type="dxa" w:w="3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DEV-005</w:t>
            </w:r>
          </w:p>
        </w:tc>
      </w:tr>
    </w:tbl>
    <w:p>
      <w:r>
        <w:br w:type="page"/>
      </w:r>
    </w:p>
    <w:p>
      <w:pPr>
        <w:spacing w:after="80" w:before="400"/>
      </w:pPr>
      <w:r>
        <w:rPr>
          <w:rFonts w:ascii="Calibri" w:cs="Calibri" w:eastAsia="Calibri" w:hAnsi="Calibri"/>
          <w:b/>
          <w:bCs/>
          <w:color w:val="1F3864"/>
          <w:sz w:val="32"/>
          <w:szCs w:val="32"/>
        </w:rPr>
        <w:t xml:space="preserve">End of Report</w:t>
      </w:r>
    </w:p>
    <w:p>
      <w:pPr>
        <w:spacing w:after="80" w:before="0"/>
      </w:pPr>
      <w:r>
        <w:rPr>
          <w:rFonts w:ascii="Calibri" w:cs="Calibri" w:eastAsia="Calibri" w:hAnsi="Calibri"/>
          <w:i/>
          <w:iCs/>
          <w:color w:val="475569"/>
          <w:sz w:val="22"/>
          <w:szCs w:val="22"/>
        </w:rPr>
        <w:t xml:space="preserve">Requirements Intelligence Report™ — Baseline Run</w:t>
      </w:r>
    </w:p>
    <w:p>
      <w:pPr>
        <w:spacing w:after="240" w:before="0"/>
      </w:pPr>
      <w:r>
        <w:rPr>
          <w:rFonts w:ascii="Calibri" w:cs="Calibri" w:eastAsia="Calibri" w:hAnsi="Calibri"/>
          <w:color w:val="475569"/>
          <w:sz w:val="22"/>
          <w:szCs w:val="22"/>
        </w:rPr>
        <w:t xml:space="preserve">Heritage Health Campus — Northstar Ambulatory Care Clinic</w:t>
      </w:r>
      <w:r>
        <w:rPr>
          <w:rFonts w:ascii="Calibri" w:cs="Calibri" w:eastAsia="Calibri" w:hAnsi="Calibri"/>
          <w:color w:val="475569"/>
          <w:sz w:val="22"/>
          <w:szCs w:val="22"/>
        </w:rPr>
        <w:t xml:space="preserve">    ·    Run ID HHC-REG-001    ·    Register v1.0    ·    January 28, 2025</w:t>
      </w:r>
    </w:p>
    <w:p>
      <w:pPr>
        <w:spacing w:after="60" w:before="240"/>
      </w:pPr>
      <w:r>
        <w:rPr>
          <w:rFonts w:ascii="Calibri" w:cs="Calibri" w:eastAsia="Calibri" w:hAnsi="Calibri"/>
          <w:i/>
          <w:iCs/>
          <w:color w:val="475569"/>
          <w:sz w:val="18"/>
          <w:szCs w:val="18"/>
        </w:rPr>
        <w:t xml:space="preserve">Prepared by</w:t>
      </w:r>
    </w:p>
    <w:p>
      <w:pPr>
        <w:spacing w:after="40" w:before="0"/>
      </w:pPr>
      <w:r>
        <w:rPr>
          <w:rFonts w:ascii="Calibri" w:cs="Calibri" w:eastAsia="Calibri" w:hAnsi="Calibri"/>
          <w:b/>
          <w:bCs/>
          <w:color w:val="1F3864"/>
          <w:sz w:val="28"/>
          <w:szCs w:val="28"/>
        </w:rPr>
        <w:t xml:space="preserve">GALLANT</w:t>
      </w:r>
      <w:r>
        <w:rPr>
          <w:rFonts w:ascii="Calibri" w:cs="Calibri" w:eastAsia="Calibri" w:hAnsi="Calibri"/>
          <w:color w:val="1F3864"/>
          <w:sz w:val="28"/>
          <w:szCs w:val="28"/>
        </w:rPr>
        <w:t xml:space="preserve"> PROJECT SOLUTIONS LLC</w:t>
      </w:r>
    </w:p>
    <w:p>
      <w:pPr>
        <w:spacing w:after="80" w:before="0"/>
      </w:pPr>
      <w:r>
        <w:rPr>
          <w:rFonts w:ascii="Calibri" w:cs="Calibri" w:eastAsia="Calibri" w:hAnsi="Calibri"/>
          <w:color w:val="475569"/>
          <w:sz w:val="22"/>
          <w:szCs w:val="22"/>
        </w:rPr>
        <w:t xml:space="preserve">Greg Tuite, PE PMP — Principal</w:t>
      </w:r>
    </w:p>
    <w:p>
      <w:pPr>
        <w:spacing w:after="0" w:before="0"/>
      </w:pPr>
      <w:r>
        <w:rPr>
          <w:rFonts w:ascii="Calibri" w:cs="Calibri" w:eastAsia="Calibri" w:hAnsi="Calibri"/>
          <w:color w:val="475569"/>
          <w:sz w:val="18"/>
          <w:szCs w:val="18"/>
        </w:rPr>
        <w:t xml:space="preserve">Service-Disabled Veteran-Owned Small Business (SDVOSB)   ·   Veteran-Owned Small Business (VOSB)   ·   SBA Registered</w:t>
      </w:r>
    </w:p>
    <w:p>
      <w:pPr>
        <w:pBdr>
          <w:top w:val="single" w:color="C9A227" w:sz="6" w:space="4"/>
        </w:pBdr>
        <w:spacing w:after="0" w:before="240"/>
      </w:pPr>
      <w:r>
        <w:rPr>
          <w:rFonts w:ascii="Calibri" w:cs="Calibri" w:eastAsia="Calibri" w:hAnsi="Calibri"/>
          <w:i/>
          <w:iCs/>
          <w:color w:val="475569"/>
          <w:sz w:val="16"/>
          <w:szCs w:val="16"/>
        </w:rPr>
        <w:t xml:space="preserve">© 2026 Gallant Project Solutions LLC. PROPRIETARY AND CONFIDENTIAL. All rights reserved.</w:t>
      </w:r>
    </w:p>
    <w:sectPr>
      <w:headerReference w:type="default" r:id="rId7"/>
      <w:footerReference w:type="default" r:id="rId8"/>
      <w:pgSz w:w="12240" w:h="15840" w:orient="portrait"/>
      <w:pgMar w:top="1440" w:right="1080" w:bottom="1440" w:left="108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227" w:sz="6" w:space="4"/>
      </w:pBdr>
      <w:tabs>
        <w:tab w:val="right" w:pos="9720"/>
      </w:tabs>
      <w:spacing w:before="0"/>
      <w:jc w:val="left"/>
    </w:pPr>
    <w:r>
      <w:rPr>
        <w:rFonts w:ascii="Calibri" w:cs="Calibri" w:eastAsia="Calibri" w:hAnsi="Calibri"/>
        <w:color w:val="475569"/>
        <w:sz w:val="16"/>
        <w:szCs w:val="16"/>
      </w:rPr>
      <w:t xml:space="preserve">PROPRIETARY &amp; CONFIDENTIAL   ·   © 2026 Gallant Project Solutions LLC   ·   SDVOSB / VOSB</w:t>
    </w:r>
    <w:r>
      <w:rPr>
        <w:rFonts w:ascii="Calibri" w:cs="Calibri" w:eastAsia="Calibri" w:hAnsi="Calibri"/>
        <w:sz w:val="16"/>
        <w:szCs w:val="16"/>
      </w:rPr>
      <w:t xml:space="preserve">	</w:t>
    </w:r>
    <w:r>
      <w:rPr>
        <w:rFonts w:ascii="Calibri" w:cs="Calibri" w:eastAsia="Calibri" w:hAnsi="Calibri"/>
        <w:color w:val="475569"/>
        <w:sz w:val="16"/>
        <w:szCs w:val="16"/>
      </w:rPr>
      <w:t xml:space="preserve">Page </w:t>
    </w:r>
    <w:r>
      <w:rPr>
        <w:rFonts w:ascii="Calibri" w:cs="Calibri" w:eastAsia="Calibri" w:hAnsi="Calibri"/>
        <w:color w:val="475569"/>
        <w:sz w:val="16"/>
        <w:szCs w:val="16"/>
      </w:rPr>
      <w:fldChar w:fldCharType="begin"/>
      <w:instrText xml:space="preserve">PAGE</w:instrText>
      <w:fldChar w:fldCharType="separate"/>
      <w:fldChar w:fldCharType="end"/>
    </w:r>
    <w:r>
      <w:rPr>
        <w:rFonts w:ascii="Calibri" w:cs="Calibri" w:eastAsia="Calibri" w:hAnsi="Calibri"/>
        <w:color w:val="475569"/>
        <w:sz w:val="16"/>
        <w:szCs w:val="16"/>
      </w:rPr>
      <w:t xml:space="preserve"> of </w:t>
    </w:r>
    <w:r>
      <w:rPr>
        <w:rFonts w:ascii="Calibri" w:cs="Calibri" w:eastAsia="Calibri" w:hAnsi="Calibri"/>
        <w:color w:val="47556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8" w:space="4"/>
      </w:pBdr>
      <w:spacing w:after="0"/>
      <w:jc w:val="left"/>
    </w:pPr>
    <w:r>
      <w:rPr>
        <w:rFonts w:ascii="Calibri" w:cs="Calibri" w:eastAsia="Calibri" w:hAnsi="Calibri"/>
        <w:b/>
        <w:bCs/>
        <w:color w:val="1F3864"/>
        <w:sz w:val="22"/>
        <w:szCs w:val="22"/>
      </w:rPr>
      <w:t xml:space="preserve">GALLANT</w:t>
    </w:r>
    <w:r>
      <w:rPr>
        <w:rFonts w:ascii="Calibri" w:cs="Calibri" w:eastAsia="Calibri" w:hAnsi="Calibri"/>
        <w:color w:val="1F3864"/>
        <w:sz w:val="22"/>
        <w:szCs w:val="22"/>
      </w:rPr>
      <w:t xml:space="preserve"> PROJECT SOLUTIONS LLC</w:t>
    </w:r>
    <w:r>
      <w:rPr>
        <w:rFonts w:ascii="Calibri" w:cs="Calibri" w:eastAsia="Calibri" w:hAnsi="Calibri"/>
        <w:color w:val="475569"/>
        <w:sz w:val="18"/>
        <w:szCs w:val="18"/>
      </w:rPr>
      <w:t xml:space="preserve">   ·   </w:t>
    </w:r>
    <w:r>
      <w:rPr>
        <w:rFonts w:ascii="Calibri" w:cs="Calibri" w:eastAsia="Calibri" w:hAnsi="Calibri"/>
        <w:i/>
        <w:iCs/>
        <w:color w:val="475569"/>
        <w:sz w:val="18"/>
        <w:szCs w:val="18"/>
      </w:rPr>
      <w:t xml:space="preserve">Requirements Intelligence Report™</w:t>
    </w:r>
    <w:r>
      <w:rPr>
        <w:rFonts w:ascii="Calibri" w:cs="Calibri" w:eastAsia="Calibri" w:hAnsi="Calibri"/>
        <w:color w:val="475569"/>
        <w:sz w:val="18"/>
        <w:szCs w:val="18"/>
      </w:rPr>
      <w:t xml:space="preserve">   ·   </w:t>
    </w:r>
    <w:r>
      <w:rPr>
        <w:rFonts w:ascii="Calibri" w:cs="Calibri" w:eastAsia="Calibri" w:hAnsi="Calibri"/>
        <w:color w:val="475569"/>
        <w:sz w:val="18"/>
        <w:szCs w:val="18"/>
      </w:rPr>
      <w:t xml:space="preserve">Heritage Health Campus — Northstar Clinic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00" w:before="24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60" w:before="160"/>
      <w:outlineLvl w:val="2"/>
    </w:pPr>
    <w:rPr>
      <w:rFonts w:ascii="Calibri" w:cs="Calibri" w:eastAsia="Calibri" w:hAnsi="Calibri"/>
      <w:b/>
      <w:bCs/>
      <w:color w:val="47556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Intelligence Report — Heritage Health Campus (Baseline Run)</dc:title>
  <dc:creator>Gallant Project Solutions LLC</dc:creator>
  <dc:description>Baseline Run RIR — Heritage Health Campus, Run ID HHC-REG-001, Register v1.0</dc:description>
  <cp:lastModifiedBy>Un-named</cp:lastModifiedBy>
  <cp:revision>1</cp:revision>
  <dcterms:created xsi:type="dcterms:W3CDTF">2026-05-07T18:10:18.326Z</dcterms:created>
  <dcterms:modified xsi:type="dcterms:W3CDTF">2026-05-07T18:10:18.327Z</dcterms:modified>
</cp:coreProperties>
</file>

<file path=docProps/custom.xml><?xml version="1.0" encoding="utf-8"?>
<Properties xmlns="http://schemas.openxmlformats.org/officeDocument/2006/custom-properties" xmlns:vt="http://schemas.openxmlformats.org/officeDocument/2006/docPropsVTypes"/>
</file>